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333-284365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323215</wp:posOffset>
            </wp:positionV>
            <wp:extent cx="2940050" cy="994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89,550,141 Shares of Common Stock</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898,250 Warrants to Purchase Shares of Common Stock</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29,698,250 Shares of Common Stock Issuable Upon Exercise of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February 13,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spacing w:after="0" w:line="176" w:lineRule="exact"/>
        <w:rPr>
          <w:sz w:val="24"/>
          <w:szCs w:val="24"/>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Quarterly Report on Form 10-Q filed with the SEC on August 14, 2025, which is set forth below.</w:t>
      </w:r>
    </w:p>
    <w:p>
      <w:pPr>
        <w:spacing w:after="0" w:line="162" w:lineRule="exact"/>
        <w:rPr>
          <w:sz w:val="24"/>
          <w:szCs w:val="24"/>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August 18, 2025, the closing prices for our Common Stock and Warrants on the Nasdaq Stock Market LLC were $3.52 per share of Common Stock and $0.53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p>
      <w:pPr>
        <w:ind w:right="2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6 of the Prospectus and other risk factors contained in the documents incorporated by reference therein for a discussion of information that should be considered in connection with an investment in our securities.</w:t>
      </w:r>
    </w:p>
    <w:p>
      <w:pPr>
        <w:spacing w:after="0" w:line="171" w:lineRule="exact"/>
        <w:rPr>
          <w:sz w:val="24"/>
          <w:szCs w:val="24"/>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0"/>
          <w:szCs w:val="20"/>
          <w:color w:val="auto"/>
        </w:rPr>
      </w:pPr>
    </w:p>
    <w:p>
      <w:pPr>
        <w:ind w:left="3880" w:right="1580" w:hanging="3859"/>
        <w:spacing w:after="0" w:line="33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70" w:lineRule="exact"/>
        <w:rPr>
          <w:sz w:val="20"/>
          <w:szCs w:val="20"/>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0"/>
          <w:szCs w:val="20"/>
          <w:color w:val="auto"/>
        </w:rPr>
      </w:pPr>
    </w:p>
    <w:p>
      <w:pPr>
        <w:ind w:left="36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001-41139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88"/>
        </w:trPr>
        <w:tc>
          <w:tcPr>
            <w:tcW w:w="4880" w:type="dxa"/>
            <w:vAlign w:val="bottom"/>
          </w:tcPr>
          <w:p>
            <w:pPr>
              <w:jc w:val="center"/>
              <w:ind w:right="135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520" w:type="dxa"/>
            <w:vAlign w:val="bottom"/>
          </w:tcPr>
          <w:p>
            <w:pPr>
              <w:spacing w:after="0"/>
              <w:rPr>
                <w:sz w:val="22"/>
                <w:szCs w:val="22"/>
                <w:color w:val="auto"/>
              </w:rPr>
            </w:pPr>
          </w:p>
        </w:tc>
      </w:t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El Dorado Hills, CA</w:t>
            </w:r>
          </w:p>
        </w:tc>
        <w:tc>
          <w:tcPr>
            <w:tcW w:w="35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8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7"/>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par value $0.0001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279"/>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8"/>
                <w:szCs w:val="18"/>
                <w:color w:val="auto"/>
                <w:w w:val="99"/>
              </w:rPr>
              <w:t>, each whole warrant exercisable for one share of</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BZAIW</w:t>
            </w:r>
          </w:p>
        </w:tc>
        <w:tc>
          <w:tcPr>
            <w:tcW w:w="120" w:type="dxa"/>
            <w:vAlign w:val="bottom"/>
          </w:tcPr>
          <w:p>
            <w:pPr>
              <w:spacing w:after="0"/>
              <w:rPr>
                <w:sz w:val="24"/>
                <w:szCs w:val="24"/>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26"/>
        </w:trPr>
        <w:tc>
          <w:tcPr>
            <w:tcW w:w="4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562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spacing w:after="0"/>
              <w:rPr>
                <w:sz w:val="23"/>
                <w:szCs w:val="23"/>
                <w:color w:val="auto"/>
              </w:rPr>
            </w:pPr>
          </w:p>
        </w:tc>
      </w:tr>
    </w:tbl>
    <w:p>
      <w:pPr>
        <w:spacing w:after="0" w:line="128"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0"/>
          <w:szCs w:val="20"/>
          <w:color w:val="auto"/>
        </w:rPr>
      </w:pPr>
    </w:p>
    <w:p>
      <w:pPr>
        <w:spacing w:after="0" w:line="184" w:lineRule="exact"/>
        <w:tabs>
          <w:tab w:leader="none" w:pos="81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August 6, 2025, the registrant had 102,620,190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 w:name="page3"/>
    <w:bookmarkEnd w:id="2"/>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0000FF"/>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31"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color w:val="auto"/>
        </w:rPr>
        <w:t>Financial Statements (unaudited)</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Balance Sheets as of June 30, 2025 and December 31, 2024 (unaudited)</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Statements of Operations for the three and six months ended June 30, 2025 and 2024 (unaudited)</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Statements of Stockholders’ Equity (Deficit) for the three and six months ended June 30, 2025 and 2024 (unaudited)</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Condensed Consolidated Statements of Cash Flows for the six months ended June 30, 2025 and 2024 (unaudited)</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0000FF"/>
        </w:rPr>
        <w:t>Notes to the Condensed Consolidated Financial Statements (unaudited)</w:t>
      </w:r>
    </w:p>
    <w:p>
      <w:pPr>
        <w:spacing w:after="0" w:line="28"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8"/>
          <w:szCs w:val="18"/>
          <w:color w:val="auto"/>
        </w:rPr>
        <w:t>Management’s Discussion and Analysis of Financial Condition and Results of Operations</w:t>
      </w:r>
    </w:p>
    <w:p>
      <w:pPr>
        <w:spacing w:after="0" w:line="27"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9"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8"/>
          <w:szCs w:val="18"/>
          <w:color w:val="auto"/>
        </w:rPr>
        <w:t>Controls and Procedures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196"/>
        </w:trPr>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460" w:type="dxa"/>
            <w:vAlign w:val="bottom"/>
            <w:gridSpan w:val="2"/>
          </w:tcPr>
          <w:p>
            <w:pPr>
              <w:spacing w:after="0"/>
              <w:rPr>
                <w:sz w:val="17"/>
                <w:szCs w:val="17"/>
                <w:color w:val="auto"/>
              </w:rPr>
            </w:pP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1A.</w:t>
            </w:r>
          </w:p>
        </w:tc>
        <w:tc>
          <w:tcPr>
            <w:tcW w:w="480" w:type="dxa"/>
            <w:vAlign w:val="bottom"/>
            <w:gridSpan w:val="3"/>
          </w:tcPr>
          <w:p>
            <w:pPr>
              <w:spacing w:after="0"/>
              <w:rPr>
                <w:sz w:val="17"/>
                <w:szCs w:val="17"/>
                <w:color w:val="auto"/>
              </w:rPr>
            </w:pP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Risk Factors</w:t>
            </w: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Defaults Upon Senior Securities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10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Exhibits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10100" w:type="dxa"/>
            <w:vAlign w:val="bottom"/>
          </w:tcPr>
          <w:p>
            <w:pPr>
              <w:spacing w:after="0"/>
              <w:rPr>
                <w:sz w:val="24"/>
                <w:szCs w:val="24"/>
                <w:color w:val="auto"/>
              </w:rPr>
            </w:pPr>
          </w:p>
        </w:tc>
      </w:tr>
      <w:tr>
        <w:trPr>
          <w:trHeight w:val="1243"/>
        </w:trPr>
        <w:tc>
          <w:tcPr>
            <w:tcW w:w="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Blaize Holdings, Inc. (“Blaize,” “we,” “our,” or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8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7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as defined in Note 2 included in Item 1. of Part I. of this Quarterly Report,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3"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5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16"/>
                <w:szCs w:val="16"/>
                <w:color w:val="auto"/>
              </w:rPr>
            </w:pPr>
          </w:p>
        </w:tc>
        <w:tc>
          <w:tcPr>
            <w:tcW w:w="16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0" w:type="dxa"/>
            <w:vAlign w:val="bottom"/>
          </w:tcPr>
          <w:p>
            <w:pPr>
              <w:spacing w:after="0"/>
              <w:rPr>
                <w:sz w:val="16"/>
                <w:szCs w:val="16"/>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87"/>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2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 held in escrow</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 related party, net (Note 15)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53,828</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Working capital loan (Note 8)</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Advances from related party (Note 8)</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June 30,</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 and December 31, 2024, respectively, 98,881,933 and 48,376,052 shares issued and outstanding as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June 30, 2025 and December 31, 2024,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610,335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(8,554)</w:t>
            </w: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(606,601)</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(4,810)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53,828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-4208145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-2253615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-1696720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-316230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220" w:type="dxa"/>
            <w:vAlign w:val="bottom"/>
          </w:tcPr>
          <w:p>
            <w:pPr>
              <w:spacing w:after="0"/>
              <w:rPr>
                <w:sz w:val="15"/>
                <w:szCs w:val="15"/>
                <w:color w:val="auto"/>
              </w:rPr>
            </w:pPr>
          </w:p>
        </w:tc>
        <w:tc>
          <w:tcPr>
            <w:tcW w:w="27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6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Hardware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Software revenue</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Hardware revenue - related party (Note 15)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Software revenue - related party (Note 15)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(21,883)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(11,135)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(59,904)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(19,272)</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(5,872)</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unissued shares</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(29,550)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(12,022)</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(177,149)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(28,603)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(29,589)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(12,153)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(177,350)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(28,896)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3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96"/>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104,588,373</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13,623,106</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98,374,632</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13,618,188</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-2442210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-2442210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-2442210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-2442210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-1062355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-1062355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-1062355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-496570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-496570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-496570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7"/>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9"/>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11"/>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19"/>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8"/>
              </w:rPr>
              <w:t>Stockholder's Equity/(Deficit)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9"/>
          </w:tcPr>
          <w:p>
            <w:pPr>
              <w:jc w:val="right"/>
              <w:ind w:right="242"/>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11"/>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11"/>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w w:val="96"/>
              </w:rPr>
              <w:t>Treasury Stock</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3"/>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7"/>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3"/>
          </w:tcPr>
          <w:p>
            <w:pPr>
              <w:jc w:val="center"/>
              <w:ind w:right="28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bottom w:val="single" w:sz="8" w:color="auto"/>
            </w:tcBorders>
            <w:gridSpan w:val="8"/>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11"/>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9"/>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0"/>
                <w:szCs w:val="10"/>
                <w:color w:val="auto"/>
              </w:rPr>
            </w:pPr>
          </w:p>
        </w:tc>
        <w:tc>
          <w:tcPr>
            <w:tcW w:w="46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der Note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gridSpan w:val="2"/>
          </w:tcPr>
          <w:p>
            <w:pPr>
              <w:jc w:val="center"/>
              <w:ind w:right="20"/>
              <w:spacing w:after="0" w:line="124" w:lineRule="exact"/>
              <w:rPr>
                <w:sz w:val="20"/>
                <w:szCs w:val="20"/>
                <w:color w:val="auto"/>
              </w:rPr>
            </w:pPr>
            <w:r>
              <w:rPr>
                <w:rFonts w:ascii="Times New Roman" w:cs="Times New Roman" w:eastAsia="Times New Roman" w:hAnsi="Times New Roman"/>
                <w:sz w:val="11"/>
                <w:szCs w:val="11"/>
                <w:b w:val="1"/>
                <w:bCs w:val="1"/>
                <w:color w:val="auto"/>
                <w:w w:val="90"/>
              </w:rPr>
              <w: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9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3860" w:type="dxa"/>
            <w:vAlign w:val="bottom"/>
            <w:gridSpan w:val="32"/>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1080" w:type="dxa"/>
            <w:vAlign w:val="bottom"/>
            <w:gridSpan w:val="1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680" w:type="dxa"/>
            <w:vAlign w:val="bottom"/>
            <w:gridSpan w:val="10"/>
          </w:tcPr>
          <w:p>
            <w:pPr>
              <w:jc w:val="center"/>
              <w:ind w:right="306"/>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740" w:type="dxa"/>
            <w:vAlign w:val="bottom"/>
            <w:gridSpan w:val="9"/>
          </w:tcPr>
          <w:p>
            <w:pPr>
              <w:jc w:val="center"/>
              <w:ind w:right="293"/>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20" w:type="dxa"/>
            <w:vAlign w:val="bottom"/>
            <w:gridSpan w:val="19"/>
          </w:tcPr>
          <w:p>
            <w:pPr>
              <w:jc w:val="center"/>
              <w:ind w:right="1940"/>
              <w:spacing w:after="0" w:line="100" w:lineRule="exact"/>
              <w:rPr>
                <w:sz w:val="20"/>
                <w:szCs w:val="20"/>
                <w:color w:val="auto"/>
              </w:rPr>
            </w:pPr>
            <w:r>
              <w:rPr>
                <w:rFonts w:ascii="Times New Roman" w:cs="Times New Roman" w:eastAsia="Times New Roman" w:hAnsi="Times New Roman"/>
                <w:sz w:val="11"/>
                <w:szCs w:val="11"/>
                <w:b w:val="1"/>
                <w:bCs w:val="1"/>
                <w:color w:val="auto"/>
                <w:w w:val="95"/>
              </w:rPr>
              <w:t>Receivabl</w:t>
            </w:r>
          </w:p>
        </w:tc>
        <w:tc>
          <w:tcPr>
            <w:tcW w:w="0" w:type="dxa"/>
            <w:vAlign w:val="bottom"/>
          </w:tcPr>
          <w:p>
            <w:pPr>
              <w:spacing w:after="0"/>
              <w:rPr>
                <w:sz w:val="1"/>
                <w:szCs w:val="1"/>
                <w:color w:val="auto"/>
              </w:rPr>
            </w:pPr>
          </w:p>
        </w:tc>
      </w:tr>
      <w:tr>
        <w:trPr>
          <w:trHeight w:val="88"/>
        </w:trPr>
        <w:tc>
          <w:tcPr>
            <w:tcW w:w="24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5"/>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unt</w:t>
            </w:r>
          </w:p>
        </w:tc>
        <w:tc>
          <w:tcPr>
            <w:tcW w:w="120" w:type="dxa"/>
            <w:vAlign w:val="bottom"/>
            <w:gridSpan w:val="2"/>
            <w:vMerge w:val="restart"/>
          </w:tcPr>
          <w:p>
            <w:pPr>
              <w:spacing w:after="0"/>
              <w:rPr>
                <w:sz w:val="7"/>
                <w:szCs w:val="7"/>
                <w:color w:val="auto"/>
              </w:rPr>
            </w:pPr>
          </w:p>
        </w:tc>
        <w:tc>
          <w:tcPr>
            <w:tcW w:w="480" w:type="dxa"/>
            <w:vAlign w:val="bottom"/>
            <w:gridSpan w:val="4"/>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gridSpan w:val="4"/>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e</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6"/>
            <w:vMerge w:val="restart"/>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bottom w:val="single" w:sz="8" w:color="auto"/>
            </w:tcBorders>
            <w:gridSpan w:val="3"/>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gridSpan w:val="5"/>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3"/>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gridSpan w:val="4"/>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80" w:type="dxa"/>
            <w:vAlign w:val="bottom"/>
            <w:tcBorders>
              <w:bottom w:val="single" w:sz="8" w:color="auto"/>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4"/>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7"/>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gridSpan w:val="6"/>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460" w:type="dxa"/>
            <w:vAlign w:val="bottom"/>
            <w:gridSpan w:val="10"/>
            <w:shd w:val="clear" w:color="auto" w:fill="CFF0FC"/>
          </w:tcPr>
          <w:p>
            <w:pPr>
              <w:jc w:val="right"/>
              <w:ind w:right="3396"/>
              <w:spacing w:after="0"/>
              <w:rPr>
                <w:sz w:val="20"/>
                <w:szCs w:val="20"/>
                <w:color w:val="auto"/>
              </w:rPr>
            </w:pPr>
            <w:r>
              <w:rPr>
                <w:rFonts w:ascii="Times New Roman" w:cs="Times New Roman" w:eastAsia="Times New Roman" w:hAnsi="Times New Roman"/>
                <w:sz w:val="13"/>
                <w:szCs w:val="13"/>
                <w:b w:val="1"/>
                <w:bCs w:val="1"/>
                <w:color w:val="auto"/>
              </w:rPr>
              <w:t>34,712,52</w:t>
            </w:r>
          </w:p>
        </w:tc>
        <w:tc>
          <w:tcPr>
            <w:tcW w:w="1800" w:type="dxa"/>
            <w:vAlign w:val="bottom"/>
            <w:gridSpan w:val="15"/>
            <w:shd w:val="clear" w:color="auto" w:fill="CFF0FC"/>
          </w:tcPr>
          <w:p>
            <w:pPr>
              <w:jc w:val="right"/>
              <w:ind w:right="1393"/>
              <w:spacing w:after="0" w:line="126" w:lineRule="exact"/>
              <w:rPr>
                <w:sz w:val="20"/>
                <w:szCs w:val="20"/>
                <w:color w:val="auto"/>
              </w:rPr>
            </w:pPr>
            <w:r>
              <w:rPr>
                <w:rFonts w:ascii="Times New Roman" w:cs="Times New Roman" w:eastAsia="Times New Roman" w:hAnsi="Times New Roman"/>
                <w:sz w:val="13"/>
                <w:szCs w:val="13"/>
                <w:b w:val="1"/>
                <w:bCs w:val="1"/>
                <w:color w:val="auto"/>
              </w:rPr>
              <w:t>173,3</w:t>
            </w:r>
          </w:p>
        </w:tc>
        <w:tc>
          <w:tcPr>
            <w:tcW w:w="1560" w:type="dxa"/>
            <w:vAlign w:val="bottom"/>
            <w:gridSpan w:val="15"/>
            <w:shd w:val="clear" w:color="auto" w:fill="CFF0FC"/>
          </w:tcPr>
          <w:p>
            <w:pPr>
              <w:jc w:val="right"/>
              <w:ind w:right="740"/>
              <w:spacing w:after="0" w:line="126" w:lineRule="exact"/>
              <w:rPr>
                <w:sz w:val="20"/>
                <w:szCs w:val="20"/>
                <w:color w:val="auto"/>
              </w:rPr>
            </w:pPr>
            <w:r>
              <w:rPr>
                <w:rFonts w:ascii="Times New Roman" w:cs="Times New Roman" w:eastAsia="Times New Roman" w:hAnsi="Times New Roman"/>
                <w:sz w:val="13"/>
                <w:szCs w:val="13"/>
                <w:b w:val="1"/>
                <w:bCs w:val="1"/>
                <w:color w:val="auto"/>
              </w:rPr>
              <w:t>13,663,52</w:t>
            </w:r>
          </w:p>
        </w:tc>
        <w:tc>
          <w:tcPr>
            <w:tcW w:w="2620" w:type="dxa"/>
            <w:vAlign w:val="bottom"/>
            <w:gridSpan w:val="31"/>
            <w:shd w:val="clear" w:color="auto" w:fill="CFF0FC"/>
          </w:tcPr>
          <w:p>
            <w:pPr>
              <w:jc w:val="right"/>
              <w:ind w:right="2206"/>
              <w:spacing w:after="0" w:line="126" w:lineRule="exact"/>
              <w:rPr>
                <w:sz w:val="20"/>
                <w:szCs w:val="20"/>
                <w:color w:val="auto"/>
              </w:rPr>
            </w:pPr>
            <w:r>
              <w:rPr>
                <w:rFonts w:ascii="Times New Roman" w:cs="Times New Roman" w:eastAsia="Times New Roman" w:hAnsi="Times New Roman"/>
                <w:sz w:val="13"/>
                <w:szCs w:val="13"/>
                <w:b w:val="1"/>
                <w:bCs w:val="1"/>
                <w:color w:val="auto"/>
              </w:rPr>
              <w:t>96,8</w:t>
            </w:r>
          </w:p>
        </w:tc>
        <w:tc>
          <w:tcPr>
            <w:tcW w:w="1800" w:type="dxa"/>
            <w:vAlign w:val="bottom"/>
            <w:gridSpan w:val="13"/>
            <w:shd w:val="clear" w:color="auto" w:fill="CFF0FC"/>
          </w:tcPr>
          <w:p>
            <w:pPr>
              <w:jc w:val="right"/>
              <w:ind w:right="1200"/>
              <w:spacing w:after="0" w:line="126" w:lineRule="exact"/>
              <w:rPr>
                <w:sz w:val="20"/>
                <w:szCs w:val="20"/>
                <w:color w:val="auto"/>
              </w:rPr>
            </w:pPr>
            <w:r>
              <w:rPr>
                <w:rFonts w:ascii="Times New Roman" w:cs="Times New Roman" w:eastAsia="Times New Roman" w:hAnsi="Times New Roman"/>
                <w:sz w:val="13"/>
                <w:szCs w:val="13"/>
                <w:b w:val="1"/>
                <w:bCs w:val="1"/>
                <w:color w:val="auto"/>
              </w:rPr>
              <w:t>(429,25</w:t>
            </w:r>
          </w:p>
        </w:tc>
        <w:tc>
          <w:tcPr>
            <w:tcW w:w="0" w:type="dxa"/>
            <w:vAlign w:val="bottom"/>
          </w:tcPr>
          <w:p>
            <w:pPr>
              <w:spacing w:after="0"/>
              <w:rPr>
                <w:sz w:val="1"/>
                <w:szCs w:val="1"/>
                <w:color w:val="auto"/>
              </w:rPr>
            </w:pPr>
          </w:p>
        </w:tc>
      </w:tr>
      <w:tr>
        <w:trPr>
          <w:trHeight w:val="165"/>
        </w:trPr>
        <w:tc>
          <w:tcPr>
            <w:tcW w:w="2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gridSpan w:val="7"/>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gridSpan w:val="4"/>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87</w:t>
            </w:r>
          </w:p>
        </w:tc>
        <w:tc>
          <w:tcPr>
            <w:tcW w:w="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gridSpan w:val="4"/>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145,441</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(283,810)</w:t>
            </w:r>
          </w:p>
        </w:tc>
        <w:tc>
          <w:tcPr>
            <w:tcW w:w="0" w:type="dxa"/>
            <w:vAlign w:val="bottom"/>
          </w:tcPr>
          <w:p>
            <w:pPr>
              <w:spacing w:after="0"/>
              <w:rPr>
                <w:sz w:val="1"/>
                <w:szCs w:val="1"/>
                <w:color w:val="auto"/>
              </w:rPr>
            </w:pPr>
          </w:p>
        </w:tc>
      </w:tr>
      <w:tr>
        <w:trPr>
          <w:trHeight w:val="136"/>
        </w:trPr>
        <w:tc>
          <w:tcPr>
            <w:tcW w:w="3460" w:type="dxa"/>
            <w:vAlign w:val="bottom"/>
            <w:gridSpan w:val="10"/>
          </w:tcPr>
          <w:p>
            <w:pPr>
              <w:jc w:val="right"/>
              <w:ind w:right="3396"/>
              <w:spacing w:after="0"/>
              <w:rPr>
                <w:sz w:val="20"/>
                <w:szCs w:val="20"/>
                <w:color w:val="auto"/>
              </w:rPr>
            </w:pPr>
            <w:r>
              <w:rPr>
                <w:rFonts w:ascii="Times New Roman" w:cs="Times New Roman" w:eastAsia="Times New Roman" w:hAnsi="Times New Roman"/>
                <w:sz w:val="13"/>
                <w:szCs w:val="13"/>
                <w:color w:val="auto"/>
              </w:rPr>
              <w:t>(34,712,5</w:t>
            </w:r>
          </w:p>
        </w:tc>
        <w:tc>
          <w:tcPr>
            <w:tcW w:w="1800" w:type="dxa"/>
            <w:vAlign w:val="bottom"/>
            <w:gridSpan w:val="15"/>
          </w:tcPr>
          <w:p>
            <w:pPr>
              <w:jc w:val="right"/>
              <w:ind w:right="1393"/>
              <w:spacing w:after="0" w:line="136" w:lineRule="exact"/>
              <w:rPr>
                <w:sz w:val="20"/>
                <w:szCs w:val="20"/>
                <w:color w:val="auto"/>
              </w:rPr>
            </w:pPr>
            <w:r>
              <w:rPr>
                <w:rFonts w:ascii="Times New Roman" w:cs="Times New Roman" w:eastAsia="Times New Roman" w:hAnsi="Times New Roman"/>
                <w:sz w:val="13"/>
                <w:szCs w:val="13"/>
                <w:color w:val="auto"/>
                <w:w w:val="95"/>
              </w:rPr>
              <w:t>(173,3</w:t>
            </w:r>
          </w:p>
        </w:tc>
        <w:tc>
          <w:tcPr>
            <w:tcW w:w="1560" w:type="dxa"/>
            <w:vAlign w:val="bottom"/>
            <w:gridSpan w:val="15"/>
          </w:tcPr>
          <w:p>
            <w:pPr>
              <w:jc w:val="right"/>
              <w:ind w:right="740"/>
              <w:spacing w:after="0" w:line="136" w:lineRule="exact"/>
              <w:rPr>
                <w:sz w:val="20"/>
                <w:szCs w:val="20"/>
                <w:color w:val="auto"/>
              </w:rPr>
            </w:pPr>
            <w:r>
              <w:rPr>
                <w:rFonts w:ascii="Times New Roman" w:cs="Times New Roman" w:eastAsia="Times New Roman" w:hAnsi="Times New Roman"/>
                <w:sz w:val="13"/>
                <w:szCs w:val="13"/>
                <w:color w:val="auto"/>
              </w:rPr>
              <w:t>34,712,52</w:t>
            </w:r>
          </w:p>
        </w:tc>
        <w:tc>
          <w:tcPr>
            <w:tcW w:w="4420" w:type="dxa"/>
            <w:vAlign w:val="bottom"/>
            <w:gridSpan w:val="44"/>
          </w:tcPr>
          <w:p>
            <w:pPr>
              <w:jc w:val="right"/>
              <w:ind w:right="4060"/>
              <w:spacing w:after="0" w:line="136"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1"/>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80" w:type="dxa"/>
            <w:vAlign w:val="bottom"/>
            <w:tcBorders>
              <w:bottom w:val="single" w:sz="8" w:color="auto"/>
            </w:tcBorders>
            <w:gridSpan w:val="5"/>
          </w:tcPr>
          <w:p>
            <w:pPr>
              <w:jc w:val="right"/>
              <w:ind w:right="5"/>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4"/>
                <w:szCs w:val="14"/>
                <w:color w:val="auto"/>
              </w:rPr>
            </w:pPr>
          </w:p>
        </w:tc>
        <w:tc>
          <w:tcPr>
            <w:tcW w:w="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78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gridSpan w:val="2"/>
          </w:tcPr>
          <w:p>
            <w:pPr>
              <w:spacing w:after="0"/>
              <w:rPr>
                <w:sz w:val="14"/>
                <w:szCs w:val="14"/>
                <w:color w:val="auto"/>
              </w:rPr>
            </w:pPr>
          </w:p>
        </w:tc>
        <w:tc>
          <w:tcPr>
            <w:tcW w:w="3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gridSpan w:val="2"/>
          </w:tcPr>
          <w:p>
            <w:pPr>
              <w:spacing w:after="0"/>
              <w:rPr>
                <w:sz w:val="14"/>
                <w:szCs w:val="14"/>
                <w:color w:val="auto"/>
              </w:rPr>
            </w:pPr>
          </w:p>
        </w:tc>
        <w:tc>
          <w:tcPr>
            <w:tcW w:w="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887)</w:t>
            </w:r>
          </w:p>
        </w:tc>
        <w:tc>
          <w:tcPr>
            <w:tcW w:w="100" w:type="dxa"/>
            <w:vAlign w:val="bottom"/>
            <w:gridSpan w:val="2"/>
          </w:tcPr>
          <w:p>
            <w:pPr>
              <w:spacing w:after="0"/>
              <w:rPr>
                <w:sz w:val="14"/>
                <w:szCs w:val="14"/>
                <w:color w:val="auto"/>
              </w:rPr>
            </w:pPr>
          </w:p>
        </w:tc>
        <w:tc>
          <w:tcPr>
            <w:tcW w:w="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gridSpan w:val="9"/>
          </w:tcPr>
          <w:p>
            <w:pPr>
              <w:jc w:val="right"/>
              <w:ind w:right="760"/>
              <w:spacing w:after="0"/>
              <w:rPr>
                <w:sz w:val="20"/>
                <w:szCs w:val="20"/>
                <w:color w:val="auto"/>
              </w:rPr>
            </w:pPr>
            <w:r>
              <w:rPr>
                <w:rFonts w:ascii="Times New Roman" w:cs="Times New Roman" w:eastAsia="Times New Roman" w:hAnsi="Times New Roman"/>
                <w:sz w:val="13"/>
                <w:szCs w:val="13"/>
                <w:color w:val="auto"/>
              </w:rPr>
              <w:t>173,342</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3"/>
                <w:szCs w:val="13"/>
                <w:color w:val="auto"/>
              </w:rPr>
              <w:t>173,347</w:t>
            </w:r>
          </w:p>
        </w:tc>
        <w:tc>
          <w:tcPr>
            <w:tcW w:w="0" w:type="dxa"/>
            <w:vAlign w:val="bottom"/>
          </w:tcPr>
          <w:p>
            <w:pPr>
              <w:spacing w:after="0"/>
              <w:rPr>
                <w:sz w:val="1"/>
                <w:szCs w:val="1"/>
                <w:color w:val="auto"/>
              </w:rPr>
            </w:pPr>
          </w:p>
        </w:tc>
      </w:tr>
      <w:tr>
        <w:trPr>
          <w:trHeight w:val="129"/>
        </w:trPr>
        <w:tc>
          <w:tcPr>
            <w:tcW w:w="9440" w:type="dxa"/>
            <w:vAlign w:val="bottom"/>
            <w:gridSpan w:val="71"/>
            <w:shd w:val="clear" w:color="auto" w:fill="CFF0FC"/>
          </w:tcPr>
          <w:p>
            <w:pPr>
              <w:jc w:val="right"/>
              <w:ind w:right="9386"/>
              <w:spacing w:after="0"/>
              <w:rPr>
                <w:sz w:val="20"/>
                <w:szCs w:val="20"/>
                <w:color w:val="auto"/>
              </w:rPr>
            </w:pPr>
            <w:r>
              <w:rPr>
                <w:rFonts w:ascii="Times New Roman" w:cs="Times New Roman" w:eastAsia="Times New Roman" w:hAnsi="Times New Roman"/>
                <w:sz w:val="13"/>
                <w:szCs w:val="13"/>
                <w:color w:val="auto"/>
              </w:rPr>
              <w:t>48,376,05</w:t>
            </w:r>
          </w:p>
        </w:tc>
        <w:tc>
          <w:tcPr>
            <w:tcW w:w="1800" w:type="dxa"/>
            <w:vAlign w:val="bottom"/>
            <w:gridSpan w:val="13"/>
            <w:shd w:val="clear" w:color="auto" w:fill="CFF0FC"/>
          </w:tcPr>
          <w:p>
            <w:pPr>
              <w:jc w:val="right"/>
              <w:ind w:right="1200"/>
              <w:spacing w:after="0" w:line="129" w:lineRule="exact"/>
              <w:rPr>
                <w:sz w:val="20"/>
                <w:szCs w:val="20"/>
                <w:color w:val="auto"/>
              </w:rPr>
            </w:pPr>
            <w:r>
              <w:rPr>
                <w:rFonts w:ascii="Times New Roman" w:cs="Times New Roman" w:eastAsia="Times New Roman" w:hAnsi="Times New Roman"/>
                <w:sz w:val="13"/>
                <w:szCs w:val="13"/>
                <w:color w:val="auto"/>
              </w:rPr>
              <w:t>(429,25</w:t>
            </w:r>
          </w:p>
        </w:tc>
        <w:tc>
          <w:tcPr>
            <w:tcW w:w="0" w:type="dxa"/>
            <w:vAlign w:val="bottom"/>
          </w:tcPr>
          <w:p>
            <w:pPr>
              <w:spacing w:after="0"/>
              <w:rPr>
                <w:sz w:val="1"/>
                <w:szCs w:val="1"/>
                <w:color w:val="auto"/>
              </w:rPr>
            </w:pPr>
          </w:p>
        </w:tc>
      </w:tr>
      <w:tr>
        <w:trPr>
          <w:trHeight w:val="161"/>
        </w:trPr>
        <w:tc>
          <w:tcPr>
            <w:tcW w:w="290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rPr>
              <w:t>2</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5</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318,783</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245"/>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(110,463)</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31,433,25</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Conversion of convertible notes</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4"/>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rPr>
              <w:t>3</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tcPr>
          <w:p>
            <w:pPr>
              <w:jc w:val="right"/>
              <w:ind w:right="436"/>
              <w:spacing w:after="0"/>
              <w:rPr>
                <w:sz w:val="20"/>
                <w:szCs w:val="20"/>
                <w:color w:val="auto"/>
              </w:rPr>
            </w:pPr>
            <w:r>
              <w:rPr>
                <w:rFonts w:ascii="Times New Roman" w:cs="Times New Roman" w:eastAsia="Times New Roman" w:hAnsi="Times New Roman"/>
                <w:sz w:val="13"/>
                <w:szCs w:val="13"/>
                <w:color w:val="auto"/>
              </w:rPr>
              <w:t>314,331</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314,334</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exercise of warrants</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rPr>
              <w:t>7,505,657</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75,056</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75,057</w:t>
            </w:r>
          </w:p>
        </w:tc>
        <w:tc>
          <w:tcPr>
            <w:tcW w:w="0" w:type="dxa"/>
            <w:vAlign w:val="bottom"/>
          </w:tcPr>
          <w:p>
            <w:pPr>
              <w:spacing w:after="0"/>
              <w:rPr>
                <w:sz w:val="1"/>
                <w:szCs w:val="1"/>
                <w:color w:val="auto"/>
              </w:rPr>
            </w:pPr>
          </w:p>
        </w:tc>
      </w:tr>
      <w:tr>
        <w:trPr>
          <w:trHeight w:val="136"/>
        </w:trPr>
        <w:tc>
          <w:tcPr>
            <w:tcW w:w="4940" w:type="dxa"/>
            <w:vAlign w:val="bottom"/>
            <w:gridSpan w:val="22"/>
          </w:tcPr>
          <w:p>
            <w:pPr>
              <w:jc w:val="right"/>
              <w:ind w:right="4879"/>
              <w:spacing w:after="0"/>
              <w:rPr>
                <w:sz w:val="20"/>
                <w:szCs w:val="20"/>
                <w:color w:val="auto"/>
              </w:rPr>
            </w:pPr>
            <w:r>
              <w:rPr>
                <w:rFonts w:ascii="Times New Roman" w:cs="Times New Roman" w:eastAsia="Times New Roman" w:hAnsi="Times New Roman"/>
                <w:sz w:val="13"/>
                <w:szCs w:val="13"/>
                <w:color w:val="auto"/>
              </w:rPr>
              <w:t>2,854,24</w:t>
            </w:r>
          </w:p>
        </w:tc>
        <w:tc>
          <w:tcPr>
            <w:tcW w:w="320" w:type="dxa"/>
            <w:vAlign w:val="bottom"/>
            <w:gridSpan w:val="3"/>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5980" w:type="dxa"/>
            <w:vAlign w:val="bottom"/>
            <w:gridSpan w:val="59"/>
          </w:tcPr>
          <w:p>
            <w:pPr>
              <w:jc w:val="right"/>
              <w:ind w:right="5160"/>
              <w:spacing w:after="0" w:line="136" w:lineRule="exact"/>
              <w:rPr>
                <w:sz w:val="20"/>
                <w:szCs w:val="20"/>
                <w:color w:val="auto"/>
              </w:rPr>
            </w:pPr>
            <w:r>
              <w:rPr>
                <w:rFonts w:ascii="Times New Roman" w:cs="Times New Roman" w:eastAsia="Times New Roman" w:hAnsi="Times New Roman"/>
                <w:sz w:val="13"/>
                <w:szCs w:val="13"/>
                <w:color w:val="auto"/>
              </w:rPr>
              <w:t>11,408,95</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Merger and PIPE financing</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tcPr>
          <w:p>
            <w:pPr>
              <w:jc w:val="right"/>
              <w:ind w:right="259"/>
              <w:spacing w:after="0"/>
              <w:rPr>
                <w:sz w:val="20"/>
                <w:szCs w:val="20"/>
                <w:color w:val="auto"/>
              </w:rPr>
            </w:pPr>
            <w:r>
              <w:rPr>
                <w:rFonts w:ascii="Times New Roman" w:cs="Times New Roman" w:eastAsia="Times New Roman" w:hAnsi="Times New Roman"/>
                <w:sz w:val="13"/>
                <w:szCs w:val="13"/>
                <w:color w:val="auto"/>
              </w:rPr>
              <w:t>2</w:t>
            </w:r>
          </w:p>
        </w:tc>
        <w:tc>
          <w:tcPr>
            <w:tcW w:w="1000" w:type="dxa"/>
            <w:vAlign w:val="bottom"/>
            <w:gridSpan w:val="8"/>
          </w:tcPr>
          <w:p>
            <w:pPr>
              <w:jc w:val="right"/>
              <w:ind w:right="740"/>
              <w:spacing w:after="0"/>
              <w:rPr>
                <w:sz w:val="20"/>
                <w:szCs w:val="20"/>
                <w:color w:val="auto"/>
              </w:rPr>
            </w:pPr>
            <w:r>
              <w:rPr>
                <w:rFonts w:ascii="Times New Roman" w:cs="Times New Roman" w:eastAsia="Times New Roman" w:hAnsi="Times New Roman"/>
                <w:sz w:val="13"/>
                <w:szCs w:val="13"/>
                <w:color w:val="auto"/>
              </w:rPr>
              <w:t>061</w:t>
            </w:r>
          </w:p>
        </w:tc>
        <w:tc>
          <w:tcPr>
            <w:tcW w:w="500" w:type="dxa"/>
            <w:vAlign w:val="bottom"/>
            <w:gridSpan w:val="6"/>
          </w:tcPr>
          <w:p>
            <w:pPr>
              <w:jc w:val="right"/>
              <w:ind w:right="304"/>
              <w:spacing w:after="0"/>
              <w:rPr>
                <w:sz w:val="20"/>
                <w:szCs w:val="20"/>
                <w:color w:val="auto"/>
              </w:rPr>
            </w:pPr>
            <w:r>
              <w:rPr>
                <w:rFonts w:ascii="Times New Roman" w:cs="Times New Roman" w:eastAsia="Times New Roman" w:hAnsi="Times New Roman"/>
                <w:sz w:val="13"/>
                <w:szCs w:val="13"/>
                <w:color w:val="auto"/>
              </w:rPr>
              <w:t>7</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rPr>
              <w:t>1</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10"/>
          </w:tcPr>
          <w:p>
            <w:pPr>
              <w:jc w:val="right"/>
              <w:ind w:right="199"/>
              <w:spacing w:after="0"/>
              <w:rPr>
                <w:sz w:val="20"/>
                <w:szCs w:val="20"/>
                <w:color w:val="auto"/>
              </w:rPr>
            </w:pPr>
            <w:r>
              <w:rPr>
                <w:rFonts w:ascii="Times New Roman" w:cs="Times New Roman" w:eastAsia="Times New Roman" w:hAnsi="Times New Roman"/>
                <w:sz w:val="13"/>
                <w:szCs w:val="13"/>
                <w:color w:val="auto"/>
              </w:rPr>
              <w:t>(117,411)</w:t>
            </w:r>
          </w:p>
        </w:tc>
        <w:tc>
          <w:tcPr>
            <w:tcW w:w="980" w:type="dxa"/>
            <w:vAlign w:val="bottom"/>
            <w:gridSpan w:val="9"/>
          </w:tcPr>
          <w:p>
            <w:pPr>
              <w:jc w:val="right"/>
              <w:ind w:right="560"/>
              <w:spacing w:after="0"/>
              <w:rPr>
                <w:sz w:val="20"/>
                <w:szCs w:val="20"/>
                <w:color w:val="auto"/>
              </w:rPr>
            </w:pPr>
            <w:r>
              <w:rPr>
                <w:rFonts w:ascii="Times New Roman" w:cs="Times New Roman" w:eastAsia="Times New Roman" w:hAnsi="Times New Roman"/>
                <w:sz w:val="13"/>
                <w:szCs w:val="13"/>
                <w:color w:val="auto"/>
              </w:rPr>
              <w:t>(8,754)</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(126,164)</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Payment of Shareholder note receivable</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11"/>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9"/>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200</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49"/>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Issuance of common stock to advisors</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tcPr>
          <w:p>
            <w:pPr>
              <w:jc w:val="right"/>
              <w:ind w:right="304"/>
              <w:spacing w:after="0"/>
              <w:rPr>
                <w:sz w:val="20"/>
                <w:szCs w:val="20"/>
                <w:color w:val="auto"/>
              </w:rPr>
            </w:pPr>
            <w:r>
              <w:rPr>
                <w:rFonts w:ascii="Times New Roman" w:cs="Times New Roman" w:eastAsia="Times New Roman" w:hAnsi="Times New Roman"/>
                <w:sz w:val="13"/>
                <w:szCs w:val="13"/>
                <w:color w:val="auto"/>
              </w:rPr>
              <w:t>104,255</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10"/>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7"/>
          </w:tcPr>
          <w:p>
            <w:pPr>
              <w:jc w:val="right"/>
              <w:ind w:right="436"/>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Issuance of common stock warrants</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10"/>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7"/>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167</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48"/>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Increase in redemption value</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jc w:val="right"/>
              <w:ind w:right="740"/>
              <w:spacing w:after="0"/>
              <w:rPr>
                <w:sz w:val="20"/>
                <w:szCs w:val="20"/>
                <w:color w:val="auto"/>
              </w:rPr>
            </w:pPr>
            <w:r>
              <w:rPr>
                <w:rFonts w:ascii="Times New Roman" w:cs="Times New Roman" w:eastAsia="Times New Roman" w:hAnsi="Times New Roman"/>
                <w:sz w:val="13"/>
                <w:szCs w:val="13"/>
                <w:color w:val="auto"/>
              </w:rPr>
              <w:t>603</w:t>
            </w:r>
          </w:p>
        </w:tc>
        <w:tc>
          <w:tcPr>
            <w:tcW w:w="500" w:type="dxa"/>
            <w:vAlign w:val="bottom"/>
            <w:gridSpan w:val="6"/>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11"/>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6"/>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800" w:type="dxa"/>
            <w:vAlign w:val="bottom"/>
            <w:gridSpan w:val="12"/>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Redemption of common stock subject to</w:t>
            </w:r>
          </w:p>
        </w:tc>
        <w:tc>
          <w:tcPr>
            <w:tcW w:w="1140" w:type="dxa"/>
            <w:vAlign w:val="bottom"/>
            <w:gridSpan w:val="10"/>
            <w:shd w:val="clear" w:color="auto" w:fill="CFF0FC"/>
          </w:tcPr>
          <w:p>
            <w:pPr>
              <w:jc w:val="right"/>
              <w:ind w:right="239"/>
              <w:spacing w:after="0" w:line="136" w:lineRule="exact"/>
              <w:rPr>
                <w:sz w:val="20"/>
                <w:szCs w:val="20"/>
                <w:color w:val="auto"/>
              </w:rPr>
            </w:pPr>
            <w:r>
              <w:rPr>
                <w:rFonts w:ascii="Times New Roman" w:cs="Times New Roman" w:eastAsia="Times New Roman" w:hAnsi="Times New Roman"/>
                <w:sz w:val="13"/>
                <w:szCs w:val="13"/>
                <w:color w:val="auto"/>
              </w:rPr>
              <w:t>(2,800,4</w:t>
            </w:r>
          </w:p>
        </w:tc>
        <w:tc>
          <w:tcPr>
            <w:tcW w:w="6300" w:type="dxa"/>
            <w:vAlign w:val="bottom"/>
            <w:gridSpan w:val="62"/>
            <w:shd w:val="clear" w:color="auto" w:fill="CFF0FC"/>
          </w:tcPr>
          <w:p>
            <w:pPr>
              <w:jc w:val="right"/>
              <w:ind w:right="6040"/>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1"/>
        </w:trPr>
        <w:tc>
          <w:tcPr>
            <w:tcW w:w="29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possible redemption</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6"/>
            <w:shd w:val="clear" w:color="auto" w:fill="CFF0FC"/>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shd w:val="clear" w:color="auto" w:fill="CFF0FC"/>
          </w:tcPr>
          <w:p>
            <w:pPr>
              <w:jc w:val="right"/>
              <w:ind w:right="199"/>
              <w:spacing w:after="0"/>
              <w:rPr>
                <w:sz w:val="20"/>
                <w:szCs w:val="20"/>
                <w:color w:val="auto"/>
              </w:rPr>
            </w:pPr>
            <w:r>
              <w:rPr>
                <w:rFonts w:ascii="Times New Roman" w:cs="Times New Roman" w:eastAsia="Times New Roman" w:hAnsi="Times New Roman"/>
                <w:sz w:val="13"/>
                <w:szCs w:val="13"/>
                <w:color w:val="auto"/>
              </w:rPr>
              <w:t>89)</w:t>
            </w:r>
          </w:p>
        </w:tc>
        <w:tc>
          <w:tcPr>
            <w:tcW w:w="1000" w:type="dxa"/>
            <w:vAlign w:val="bottom"/>
            <w:gridSpan w:val="8"/>
            <w:shd w:val="clear" w:color="auto" w:fill="CFF0FC"/>
          </w:tcPr>
          <w:p>
            <w:pPr>
              <w:jc w:val="right"/>
              <w:ind w:right="680"/>
              <w:spacing w:after="0"/>
              <w:rPr>
                <w:sz w:val="20"/>
                <w:szCs w:val="20"/>
                <w:color w:val="auto"/>
              </w:rPr>
            </w:pPr>
            <w:r>
              <w:rPr>
                <w:rFonts w:ascii="Times New Roman" w:cs="Times New Roman" w:eastAsia="Times New Roman" w:hAnsi="Times New Roman"/>
                <w:sz w:val="13"/>
                <w:szCs w:val="13"/>
                <w:color w:val="auto"/>
              </w:rPr>
              <w:t>157)</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11"/>
            <w:shd w:val="clear" w:color="auto" w:fill="CFF0FC"/>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6"/>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Lapse of redemption</w:t>
            </w:r>
          </w:p>
        </w:tc>
        <w:tc>
          <w:tcPr>
            <w:tcW w:w="560" w:type="dxa"/>
            <w:vAlign w:val="bottom"/>
            <w:gridSpan w:val="6"/>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10"/>
          </w:tcPr>
          <w:p>
            <w:pPr>
              <w:jc w:val="right"/>
              <w:ind w:right="199"/>
              <w:spacing w:after="0"/>
              <w:rPr>
                <w:sz w:val="20"/>
                <w:szCs w:val="20"/>
                <w:color w:val="auto"/>
              </w:rPr>
            </w:pPr>
            <w:r>
              <w:rPr>
                <w:rFonts w:ascii="Times New Roman" w:cs="Times New Roman" w:eastAsia="Times New Roman" w:hAnsi="Times New Roman"/>
                <w:sz w:val="13"/>
                <w:szCs w:val="13"/>
                <w:color w:val="auto"/>
              </w:rPr>
              <w:t>(53,753)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180" w:type="dxa"/>
            <w:vAlign w:val="bottom"/>
            <w:gridSpan w:val="11"/>
          </w:tcPr>
          <w:p>
            <w:pPr>
              <w:jc w:val="right"/>
              <w:ind w:right="304"/>
              <w:spacing w:after="0"/>
              <w:rPr>
                <w:sz w:val="20"/>
                <w:szCs w:val="20"/>
                <w:color w:val="auto"/>
              </w:rPr>
            </w:pPr>
            <w:r>
              <w:rPr>
                <w:rFonts w:ascii="Times New Roman" w:cs="Times New Roman" w:eastAsia="Times New Roman" w:hAnsi="Times New Roman"/>
                <w:sz w:val="13"/>
                <w:szCs w:val="13"/>
                <w:color w:val="auto"/>
              </w:rPr>
              <w:t>53,753</w:t>
            </w:r>
          </w:p>
        </w:tc>
        <w:tc>
          <w:tcPr>
            <w:tcW w:w="560" w:type="dxa"/>
            <w:vAlign w:val="bottom"/>
            <w:gridSpan w:val="6"/>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10"/>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7"/>
          </w:tcPr>
          <w:p>
            <w:pPr>
              <w:jc w:val="right"/>
              <w:ind w:right="436"/>
              <w:spacing w:after="0"/>
              <w:rPr>
                <w:sz w:val="20"/>
                <w:szCs w:val="20"/>
                <w:color w:val="auto"/>
              </w:rPr>
            </w:pPr>
            <w:r>
              <w:rPr>
                <w:rFonts w:ascii="Times New Roman" w:cs="Times New Roman" w:eastAsia="Times New Roman" w:hAnsi="Times New Roman"/>
                <w:sz w:val="13"/>
                <w:szCs w:val="13"/>
                <w:color w:val="auto"/>
              </w:rPr>
              <w:t>503</w:t>
            </w:r>
          </w:p>
        </w:tc>
        <w:tc>
          <w:tcPr>
            <w:tcW w:w="8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6"/>
            <w:shd w:val="clear" w:color="auto" w:fill="CFF0FC"/>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7"/>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5"/>
            <w:shd w:val="clear" w:color="auto" w:fill="CFF0FC"/>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6"/>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8"/>
            <w:shd w:val="clear" w:color="auto" w:fill="CFF0FC"/>
          </w:tcPr>
          <w:p>
            <w:pPr>
              <w:jc w:val="right"/>
              <w:ind w:right="362"/>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6"/>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11"/>
            <w:shd w:val="clear" w:color="auto" w:fill="CFF0FC"/>
          </w:tcPr>
          <w:p>
            <w:pPr>
              <w:jc w:val="right"/>
              <w:ind w:right="436"/>
              <w:spacing w:after="0"/>
              <w:rPr>
                <w:sz w:val="20"/>
                <w:szCs w:val="20"/>
                <w:color w:val="auto"/>
              </w:rPr>
            </w:pPr>
            <w:r>
              <w:rPr>
                <w:rFonts w:ascii="Times New Roman" w:cs="Times New Roman" w:eastAsia="Times New Roman" w:hAnsi="Times New Roman"/>
                <w:sz w:val="13"/>
                <w:szCs w:val="13"/>
                <w:color w:val="auto"/>
              </w:rPr>
              <w:t>18,606</w:t>
            </w:r>
          </w:p>
        </w:tc>
        <w:tc>
          <w:tcPr>
            <w:tcW w:w="800" w:type="dxa"/>
            <w:vAlign w:val="bottom"/>
            <w:gridSpan w:val="8"/>
            <w:shd w:val="clear" w:color="auto" w:fill="CFF0FC"/>
          </w:tcPr>
          <w:p>
            <w:pPr>
              <w:jc w:val="right"/>
              <w:ind w:right="6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305"/>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18,606</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(177,35</w:t>
            </w:r>
          </w:p>
        </w:tc>
        <w:tc>
          <w:tcPr>
            <w:tcW w:w="0" w:type="dxa"/>
            <w:vAlign w:val="bottom"/>
          </w:tcPr>
          <w:p>
            <w:pPr>
              <w:spacing w:after="0"/>
              <w:rPr>
                <w:sz w:val="1"/>
                <w:szCs w:val="1"/>
                <w:color w:val="auto"/>
              </w:rPr>
            </w:pPr>
          </w:p>
        </w:tc>
      </w:tr>
      <w:tr>
        <w:trPr>
          <w:trHeight w:val="161"/>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4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4"/>
                <w:szCs w:val="14"/>
                <w:color w:val="auto"/>
              </w:rPr>
            </w:pPr>
          </w:p>
        </w:tc>
        <w:tc>
          <w:tcPr>
            <w:tcW w:w="640" w:type="dxa"/>
            <w:vAlign w:val="bottom"/>
            <w:tcBorders>
              <w:bottom w:val="single" w:sz="8" w:color="auto"/>
            </w:tcBorders>
            <w:gridSpan w:val="6"/>
          </w:tcPr>
          <w:p>
            <w:pPr>
              <w:jc w:val="right"/>
              <w:ind w:right="593"/>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98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3"/>
                <w:szCs w:val="13"/>
                <w:color w:val="auto"/>
              </w:rPr>
              <w:t>(177,350)</w:t>
            </w:r>
          </w:p>
        </w:tc>
        <w:tc>
          <w:tcPr>
            <w:tcW w:w="0" w:type="dxa"/>
            <w:vAlign w:val="bottom"/>
          </w:tcPr>
          <w:p>
            <w:pPr>
              <w:spacing w:after="0"/>
              <w:rPr>
                <w:sz w:val="1"/>
                <w:szCs w:val="1"/>
                <w:color w:val="auto"/>
              </w:rPr>
            </w:pPr>
          </w:p>
        </w:tc>
      </w:tr>
      <w:tr>
        <w:trPr>
          <w:trHeight w:val="125"/>
        </w:trPr>
        <w:tc>
          <w:tcPr>
            <w:tcW w:w="9440" w:type="dxa"/>
            <w:vAlign w:val="bottom"/>
            <w:gridSpan w:val="71"/>
            <w:shd w:val="clear" w:color="auto" w:fill="CFF0FC"/>
          </w:tcPr>
          <w:p>
            <w:pPr>
              <w:jc w:val="right"/>
              <w:ind w:right="9386"/>
              <w:spacing w:after="0"/>
              <w:rPr>
                <w:sz w:val="20"/>
                <w:szCs w:val="20"/>
                <w:color w:val="auto"/>
              </w:rPr>
            </w:pPr>
            <w:r>
              <w:rPr>
                <w:rFonts w:ascii="Times New Roman" w:cs="Times New Roman" w:eastAsia="Times New Roman" w:hAnsi="Times New Roman"/>
                <w:sz w:val="13"/>
                <w:szCs w:val="13"/>
                <w:b w:val="1"/>
                <w:bCs w:val="1"/>
                <w:color w:val="auto"/>
              </w:rPr>
              <w:t>98,881,93</w:t>
            </w:r>
          </w:p>
        </w:tc>
        <w:tc>
          <w:tcPr>
            <w:tcW w:w="1800" w:type="dxa"/>
            <w:vAlign w:val="bottom"/>
            <w:gridSpan w:val="13"/>
            <w:shd w:val="clear" w:color="auto" w:fill="CFF0FC"/>
          </w:tcPr>
          <w:p>
            <w:pPr>
              <w:jc w:val="right"/>
              <w:ind w:right="1200"/>
              <w:spacing w:after="0" w:line="126" w:lineRule="exact"/>
              <w:rPr>
                <w:sz w:val="20"/>
                <w:szCs w:val="20"/>
                <w:color w:val="auto"/>
              </w:rPr>
            </w:pPr>
            <w:r>
              <w:rPr>
                <w:rFonts w:ascii="Times New Roman" w:cs="Times New Roman" w:eastAsia="Times New Roman" w:hAnsi="Times New Roman"/>
                <w:sz w:val="13"/>
                <w:szCs w:val="13"/>
                <w:b w:val="1"/>
                <w:bCs w:val="1"/>
                <w:color w:val="auto"/>
              </w:rPr>
              <w:t>(606,60</w:t>
            </w: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7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gridSpan w:val="3"/>
            <w:shd w:val="clear" w:color="auto" w:fill="CFF0FC"/>
          </w:tcPr>
          <w:p>
            <w:pPr>
              <w:jc w:val="right"/>
              <w:ind w:right="54"/>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gridSpan w:val="6"/>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gridSpan w:val="4"/>
            <w:shd w:val="clear" w:color="auto" w:fill="CFF0FC"/>
          </w:tcPr>
          <w:p>
            <w:pPr>
              <w:jc w:val="right"/>
              <w:ind w:right="53"/>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780" w:type="dxa"/>
            <w:vAlign w:val="bottom"/>
            <w:tcBorders>
              <w:bottom w:val="single" w:sz="8" w:color="auto"/>
            </w:tcBorders>
            <w:gridSpan w:val="4"/>
            <w:shd w:val="clear" w:color="auto" w:fill="CFF0FC"/>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3</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380" w:type="dxa"/>
            <w:vAlign w:val="bottom"/>
            <w:tcBorders>
              <w:bottom w:val="single" w:sz="8" w:color="auto"/>
            </w:tcBorders>
            <w:gridSpan w:val="4"/>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$ 10</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480" w:type="dxa"/>
            <w:vAlign w:val="bottom"/>
            <w:tcBorders>
              <w:bottom w:val="single" w:sz="8" w:color="auto"/>
            </w:tcBorders>
            <w:gridSpan w:val="4"/>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gridSpan w:val="4"/>
            <w:shd w:val="clear" w:color="auto" w:fill="CFF0FC"/>
          </w:tcPr>
          <w:p>
            <w:pPr>
              <w:jc w:val="right"/>
              <w:ind w:right="62"/>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bottom w:val="single" w:sz="8" w:color="auto"/>
            </w:tcBorders>
            <w:gridSpan w:val="3"/>
            <w:shd w:val="clear" w:color="auto" w:fill="CFF0FC"/>
          </w:tcPr>
          <w:p>
            <w:pPr>
              <w:jc w:val="right"/>
              <w:ind w:right="58"/>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gridSpan w:val="7"/>
            <w:shd w:val="clear" w:color="auto" w:fill="CFF0FC"/>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610,335</w:t>
            </w:r>
          </w:p>
        </w:tc>
        <w:tc>
          <w:tcPr>
            <w:tcW w:w="100" w:type="dxa"/>
            <w:vAlign w:val="bottom"/>
            <w:tcBorders>
              <w:bottom w:val="single" w:sz="8" w:color="CFF0FC"/>
            </w:tcBorders>
            <w:gridSpan w:val="2"/>
            <w:shd w:val="clear" w:color="auto" w:fill="CFF0FC"/>
          </w:tcPr>
          <w:p>
            <w:pPr>
              <w:spacing w:after="0"/>
              <w:rPr>
                <w:sz w:val="17"/>
                <w:szCs w:val="17"/>
                <w:color w:val="auto"/>
              </w:rPr>
            </w:pPr>
          </w:p>
        </w:tc>
        <w:tc>
          <w:tcPr>
            <w:tcW w:w="580" w:type="dxa"/>
            <w:vAlign w:val="bottom"/>
            <w:tcBorders>
              <w:bottom w:val="single" w:sz="8" w:color="auto"/>
            </w:tcBorders>
            <w:gridSpan w:val="5"/>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 (8,554)</w:t>
            </w:r>
          </w:p>
        </w:tc>
        <w:tc>
          <w:tcPr>
            <w:tcW w:w="120" w:type="dxa"/>
            <w:vAlign w:val="bottom"/>
            <w:tcBorders>
              <w:bottom w:val="single" w:sz="8" w:color="CFF0FC"/>
            </w:tcBorders>
            <w:gridSpan w:val="2"/>
            <w:shd w:val="clear" w:color="auto" w:fill="CFF0FC"/>
          </w:tcPr>
          <w:p>
            <w:pPr>
              <w:spacing w:after="0"/>
              <w:rPr>
                <w:sz w:val="17"/>
                <w:szCs w:val="17"/>
                <w:color w:val="auto"/>
              </w:rPr>
            </w:pPr>
          </w:p>
        </w:tc>
        <w:tc>
          <w:tcPr>
            <w:tcW w:w="380" w:type="dxa"/>
            <w:vAlign w:val="bottom"/>
            <w:tcBorders>
              <w:bottom w:val="single" w:sz="8" w:color="auto"/>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gridSpan w:val="3"/>
            <w:shd w:val="clear" w:color="auto" w:fill="CFF0FC"/>
          </w:tcPr>
          <w:p>
            <w:pPr>
              <w:jc w:val="right"/>
              <w:ind w:right="13"/>
              <w:spacing w:after="0" w:line="146" w:lineRule="exact"/>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ind w:right="5"/>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gridSpan w:val="3"/>
            <w:shd w:val="clear" w:color="auto" w:fill="CFF0FC"/>
          </w:tcPr>
          <w:p>
            <w:pPr>
              <w:jc w:val="right"/>
              <w:ind w:right="80"/>
              <w:spacing w:after="0" w:line="146" w:lineRule="exact"/>
              <w:rPr>
                <w:sz w:val="20"/>
                <w:szCs w:val="20"/>
                <w:color w:val="auto"/>
              </w:rPr>
            </w:pPr>
            <w:r>
              <w:rPr>
                <w:rFonts w:ascii="Times New Roman" w:cs="Times New Roman" w:eastAsia="Times New Roman" w:hAnsi="Times New Roman"/>
                <w:sz w:val="13"/>
                <w:szCs w:val="13"/>
                <w:b w:val="1"/>
                <w:bCs w:val="1"/>
                <w:color w:val="auto"/>
              </w:rPr>
              <w:t>(4,810)</w:t>
            </w:r>
          </w:p>
        </w:tc>
        <w:tc>
          <w:tcPr>
            <w:tcW w:w="0" w:type="dxa"/>
            <w:vAlign w:val="bottom"/>
          </w:tcPr>
          <w:p>
            <w:pPr>
              <w:spacing w:after="0"/>
              <w:rPr>
                <w:sz w:val="1"/>
                <w:szCs w:val="1"/>
                <w:color w:val="auto"/>
              </w:rPr>
            </w:pPr>
          </w:p>
        </w:tc>
      </w:tr>
      <w:tr>
        <w:trPr>
          <w:trHeight w:val="534"/>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9"/>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20" w:type="dxa"/>
            <w:vAlign w:val="bottom"/>
          </w:tcPr>
          <w:p>
            <w:pPr>
              <w:spacing w:after="0"/>
              <w:rPr>
                <w:sz w:val="24"/>
                <w:szCs w:val="24"/>
                <w:color w:val="auto"/>
              </w:rPr>
            </w:pPr>
          </w:p>
        </w:tc>
        <w:tc>
          <w:tcPr>
            <w:tcW w:w="1340" w:type="dxa"/>
            <w:vAlign w:val="bottom"/>
            <w:gridSpan w:val="12"/>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Stockholder's Deficit</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7"/>
          </w:tcPr>
          <w:p>
            <w:pPr>
              <w:jc w:val="center"/>
              <w:ind w:left="1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12"/>
          </w:tcPr>
          <w:p>
            <w:pPr>
              <w:jc w:val="right"/>
              <w:ind w:right="133"/>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8"/>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13"/>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6"/>
              </w:rPr>
              <w:t>Treasury Stock</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5"/>
          </w:tcPr>
          <w:p>
            <w:pPr>
              <w:jc w:val="center"/>
              <w:ind w:right="6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Additiona</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5"/>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6"/>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Accumul</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8"/>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70"/>
              </w:rPr>
              <w:t>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5"/>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er Note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6"/>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9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20" w:type="dxa"/>
            <w:vAlign w:val="bottom"/>
          </w:tcPr>
          <w:p>
            <w:pPr>
              <w:spacing w:after="0"/>
              <w:rPr>
                <w:sz w:val="8"/>
                <w:szCs w:val="8"/>
                <w:color w:val="auto"/>
              </w:rPr>
            </w:pPr>
          </w:p>
        </w:tc>
        <w:tc>
          <w:tcPr>
            <w:tcW w:w="12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Amoun</w:t>
            </w:r>
          </w:p>
        </w:tc>
        <w:tc>
          <w:tcPr>
            <w:tcW w:w="240" w:type="dxa"/>
            <w:vAlign w:val="bottom"/>
            <w:gridSpan w:val="2"/>
          </w:tcPr>
          <w:p>
            <w:pPr>
              <w:spacing w:after="0"/>
              <w:rPr>
                <w:sz w:val="8"/>
                <w:szCs w:val="8"/>
                <w:color w:val="auto"/>
              </w:rPr>
            </w:pPr>
          </w:p>
        </w:tc>
        <w:tc>
          <w:tcPr>
            <w:tcW w:w="12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1"/>
                <w:szCs w:val="11"/>
                <w:b w:val="1"/>
                <w:bCs w:val="1"/>
                <w:color w:val="auto"/>
              </w:rPr>
              <w:t>Amoun</w:t>
            </w:r>
          </w:p>
        </w:tc>
        <w:tc>
          <w:tcPr>
            <w:tcW w:w="240" w:type="dxa"/>
            <w:vAlign w:val="bottom"/>
            <w:gridSpan w:val="4"/>
          </w:tcPr>
          <w:p>
            <w:pPr>
              <w:spacing w:after="0"/>
              <w:rPr>
                <w:sz w:val="8"/>
                <w:szCs w:val="8"/>
                <w:color w:val="auto"/>
              </w:rPr>
            </w:pPr>
          </w:p>
        </w:tc>
        <w:tc>
          <w:tcPr>
            <w:tcW w:w="13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220" w:type="dxa"/>
            <w:vAlign w:val="bottom"/>
            <w:gridSpan w:val="4"/>
          </w:tcPr>
          <w:p>
            <w:pPr>
              <w:spacing w:after="0"/>
              <w:rPr>
                <w:sz w:val="8"/>
                <w:szCs w:val="8"/>
                <w:color w:val="auto"/>
              </w:rPr>
            </w:pPr>
          </w:p>
        </w:tc>
        <w:tc>
          <w:tcPr>
            <w:tcW w:w="110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3240" w:type="dxa"/>
            <w:vAlign w:val="bottom"/>
            <w:gridSpan w:val="29"/>
          </w:tcPr>
          <w:p>
            <w:pPr>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0" w:type="dxa"/>
            <w:vAlign w:val="bottom"/>
          </w:tcPr>
          <w:p>
            <w:pPr>
              <w:spacing w:after="0"/>
              <w:rPr>
                <w:sz w:val="1"/>
                <w:szCs w:val="1"/>
                <w:color w:val="auto"/>
              </w:rPr>
            </w:pPr>
          </w:p>
        </w:tc>
      </w:tr>
      <w:tr>
        <w:trPr>
          <w:trHeight w:val="88"/>
        </w:trPr>
        <w:tc>
          <w:tcPr>
            <w:tcW w:w="24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340" w:type="dxa"/>
            <w:vAlign w:val="bottom"/>
            <w:gridSpan w:val="4"/>
          </w:tcPr>
          <w:p>
            <w:pPr>
              <w:spacing w:after="0"/>
              <w:rPr>
                <w:sz w:val="7"/>
                <w:szCs w:val="7"/>
                <w:color w:val="auto"/>
              </w:rPr>
            </w:pPr>
          </w:p>
        </w:tc>
        <w:tc>
          <w:tcPr>
            <w:tcW w:w="22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w w:val="73"/>
              </w:rPr>
              <w:t>t</w:t>
            </w:r>
          </w:p>
        </w:tc>
        <w:tc>
          <w:tcPr>
            <w:tcW w:w="120" w:type="dxa"/>
            <w:vAlign w:val="bottom"/>
            <w:vMerge w:val="restart"/>
          </w:tcPr>
          <w:p>
            <w:pPr>
              <w:spacing w:after="0"/>
              <w:rPr>
                <w:sz w:val="7"/>
                <w:szCs w:val="7"/>
                <w:color w:val="auto"/>
              </w:rPr>
            </w:pPr>
          </w:p>
        </w:tc>
        <w:tc>
          <w:tcPr>
            <w:tcW w:w="240" w:type="dxa"/>
            <w:vAlign w:val="bottom"/>
            <w:gridSpan w:val="2"/>
          </w:tcPr>
          <w:p>
            <w:pPr>
              <w:spacing w:after="0"/>
              <w:rPr>
                <w:sz w:val="7"/>
                <w:szCs w:val="7"/>
                <w:color w:val="auto"/>
              </w:rPr>
            </w:pPr>
          </w:p>
        </w:tc>
        <w:tc>
          <w:tcPr>
            <w:tcW w:w="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vMerge w:val="restart"/>
          </w:tcPr>
          <w:p>
            <w:pPr>
              <w:spacing w:after="0"/>
              <w:rPr>
                <w:sz w:val="7"/>
                <w:szCs w:val="7"/>
                <w:color w:val="auto"/>
              </w:rPr>
            </w:pPr>
          </w:p>
        </w:tc>
        <w:tc>
          <w:tcPr>
            <w:tcW w:w="180" w:type="dxa"/>
            <w:vAlign w:val="bottom"/>
            <w:gridSpan w:val="2"/>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w:t>
            </w:r>
          </w:p>
        </w:tc>
        <w:tc>
          <w:tcPr>
            <w:tcW w:w="480" w:type="dxa"/>
            <w:vAlign w:val="bottom"/>
            <w:gridSpan w:val="6"/>
          </w:tcPr>
          <w:p>
            <w:pPr>
              <w:spacing w:after="0"/>
              <w:rPr>
                <w:sz w:val="7"/>
                <w:szCs w:val="7"/>
                <w:color w:val="auto"/>
              </w:rPr>
            </w:pPr>
          </w:p>
        </w:tc>
        <w:tc>
          <w:tcPr>
            <w:tcW w:w="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6"/>
          </w:tcPr>
          <w:p>
            <w:pPr>
              <w:spacing w:after="0"/>
              <w:rPr>
                <w:sz w:val="7"/>
                <w:szCs w:val="7"/>
                <w:color w:val="auto"/>
              </w:rPr>
            </w:pPr>
          </w:p>
        </w:tc>
        <w:tc>
          <w:tcPr>
            <w:tcW w:w="24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nt</w:t>
            </w:r>
          </w:p>
        </w:tc>
        <w:tc>
          <w:tcPr>
            <w:tcW w:w="140" w:type="dxa"/>
            <w:vAlign w:val="bottom"/>
            <w:gridSpan w:val="3"/>
            <w:vMerge w:val="restart"/>
          </w:tcPr>
          <w:p>
            <w:pPr>
              <w:spacing w:after="0"/>
              <w:rPr>
                <w:sz w:val="7"/>
                <w:szCs w:val="7"/>
                <w:color w:val="auto"/>
              </w:rPr>
            </w:pPr>
          </w:p>
        </w:tc>
        <w:tc>
          <w:tcPr>
            <w:tcW w:w="180" w:type="dxa"/>
            <w:vAlign w:val="bottom"/>
            <w:gridSpan w:val="2"/>
          </w:tcPr>
          <w:p>
            <w:pPr>
              <w:spacing w:after="0"/>
              <w:rPr>
                <w:sz w:val="7"/>
                <w:szCs w:val="7"/>
                <w:color w:val="auto"/>
              </w:rPr>
            </w:pPr>
          </w:p>
        </w:tc>
        <w:tc>
          <w:tcPr>
            <w:tcW w:w="44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240" w:type="dxa"/>
            <w:vAlign w:val="bottom"/>
            <w:gridSpan w:val="4"/>
          </w:tcPr>
          <w:p>
            <w:pPr>
              <w:spacing w:after="0"/>
              <w:rPr>
                <w:sz w:val="7"/>
                <w:szCs w:val="7"/>
                <w:color w:val="auto"/>
              </w:rPr>
            </w:pPr>
          </w:p>
        </w:tc>
        <w:tc>
          <w:tcPr>
            <w:tcW w:w="260" w:type="dxa"/>
            <w:vAlign w:val="bottom"/>
            <w:gridSpan w:val="3"/>
            <w:vMerge w:val="restart"/>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nt</w:t>
            </w:r>
          </w:p>
        </w:tc>
        <w:tc>
          <w:tcPr>
            <w:tcW w:w="80" w:type="dxa"/>
            <w:vAlign w:val="bottom"/>
            <w:vMerge w:val="restart"/>
          </w:tcPr>
          <w:p>
            <w:pPr>
              <w:spacing w:after="0"/>
              <w:rPr>
                <w:sz w:val="7"/>
                <w:szCs w:val="7"/>
                <w:color w:val="auto"/>
              </w:rPr>
            </w:pPr>
          </w:p>
        </w:tc>
        <w:tc>
          <w:tcPr>
            <w:tcW w:w="200" w:type="dxa"/>
            <w:vAlign w:val="bottom"/>
            <w:gridSpan w:val="4"/>
          </w:tcPr>
          <w:p>
            <w:pPr>
              <w:spacing w:after="0"/>
              <w:rPr>
                <w:sz w:val="7"/>
                <w:szCs w:val="7"/>
                <w:color w:val="auto"/>
              </w:rPr>
            </w:pPr>
          </w:p>
        </w:tc>
        <w:tc>
          <w:tcPr>
            <w:tcW w:w="4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40" w:type="dxa"/>
            <w:vAlign w:val="bottom"/>
            <w:gridSpan w:val="2"/>
            <w:vMerge w:val="restart"/>
          </w:tcPr>
          <w:p>
            <w:pPr>
              <w:spacing w:after="0"/>
              <w:rPr>
                <w:sz w:val="7"/>
                <w:szCs w:val="7"/>
                <w:color w:val="auto"/>
              </w:rPr>
            </w:pPr>
          </w:p>
        </w:tc>
        <w:tc>
          <w:tcPr>
            <w:tcW w:w="180" w:type="dxa"/>
            <w:vAlign w:val="bottom"/>
            <w:gridSpan w:val="2"/>
          </w:tcPr>
          <w:p>
            <w:pPr>
              <w:spacing w:after="0"/>
              <w:rPr>
                <w:sz w:val="7"/>
                <w:szCs w:val="7"/>
                <w:color w:val="auto"/>
              </w:rPr>
            </w:pPr>
          </w:p>
        </w:tc>
        <w:tc>
          <w:tcPr>
            <w:tcW w:w="52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220" w:type="dxa"/>
            <w:vAlign w:val="bottom"/>
            <w:gridSpan w:val="2"/>
          </w:tcPr>
          <w:p>
            <w:pPr>
              <w:spacing w:after="0"/>
              <w:rPr>
                <w:sz w:val="7"/>
                <w:szCs w:val="7"/>
                <w:color w:val="auto"/>
              </w:rPr>
            </w:pPr>
          </w:p>
        </w:tc>
        <w:tc>
          <w:tcPr>
            <w:tcW w:w="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gridSpan w:val="2"/>
            <w:vMerge w:val="restart"/>
          </w:tcPr>
          <w:p>
            <w:pPr>
              <w:spacing w:after="0"/>
              <w:rPr>
                <w:sz w:val="7"/>
                <w:szCs w:val="7"/>
                <w:color w:val="auto"/>
              </w:rPr>
            </w:pPr>
          </w:p>
        </w:tc>
        <w:tc>
          <w:tcPr>
            <w:tcW w:w="140" w:type="dxa"/>
            <w:vAlign w:val="bottom"/>
            <w:gridSpan w:val="2"/>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480" w:type="dxa"/>
            <w:vAlign w:val="bottom"/>
            <w:gridSpan w:val="3"/>
          </w:tcPr>
          <w:p>
            <w:pPr>
              <w:spacing w:after="0"/>
              <w:rPr>
                <w:sz w:val="4"/>
                <w:szCs w:val="4"/>
                <w:color w:val="auto"/>
              </w:rPr>
            </w:pPr>
          </w:p>
        </w:tc>
        <w:tc>
          <w:tcPr>
            <w:tcW w:w="580" w:type="dxa"/>
            <w:vAlign w:val="bottom"/>
            <w:tcBorders>
              <w:bottom w:val="single" w:sz="8" w:color="auto"/>
            </w:tcBorders>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4"/>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5"/>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0" w:type="dxa"/>
            <w:vAlign w:val="bottom"/>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gridSpan w:val="3"/>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520" w:type="dxa"/>
            <w:vAlign w:val="bottom"/>
            <w:tcBorders>
              <w:bottom w:val="single" w:sz="8" w:color="auto"/>
            </w:tcBorders>
            <w:gridSpan w:val="5"/>
            <w:vMerge w:val="continue"/>
          </w:tcPr>
          <w:p>
            <w:pPr>
              <w:spacing w:after="0"/>
              <w:rPr>
                <w:sz w:val="4"/>
                <w:szCs w:val="4"/>
                <w:color w:val="auto"/>
              </w:rPr>
            </w:pPr>
          </w:p>
        </w:tc>
        <w:tc>
          <w:tcPr>
            <w:tcW w:w="220" w:type="dxa"/>
            <w:vAlign w:val="bottom"/>
            <w:gridSpan w:val="2"/>
          </w:tcPr>
          <w:p>
            <w:pPr>
              <w:spacing w:after="0"/>
              <w:rPr>
                <w:sz w:val="4"/>
                <w:szCs w:val="4"/>
                <w:color w:val="auto"/>
              </w:rPr>
            </w:pPr>
          </w:p>
        </w:tc>
        <w:tc>
          <w:tcPr>
            <w:tcW w:w="460" w:type="dxa"/>
            <w:vAlign w:val="bottom"/>
            <w:tcBorders>
              <w:bottom w:val="single" w:sz="8" w:color="auto"/>
            </w:tcBorders>
            <w:gridSpan w:val="4"/>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46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840" w:type="dxa"/>
            <w:vAlign w:val="bottom"/>
            <w:gridSpan w:val="6"/>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rPr>
              <w:t>34,712,</w:t>
            </w:r>
          </w:p>
        </w:tc>
        <w:tc>
          <w:tcPr>
            <w:tcW w:w="4980" w:type="dxa"/>
            <w:vAlign w:val="bottom"/>
            <w:gridSpan w:val="52"/>
            <w:shd w:val="clear" w:color="auto" w:fill="CFF0FC"/>
          </w:tcPr>
          <w:p>
            <w:pPr>
              <w:jc w:val="right"/>
              <w:ind w:right="4557"/>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1160" w:type="dxa"/>
            <w:vAlign w:val="bottom"/>
            <w:gridSpan w:val="11"/>
            <w:shd w:val="clear" w:color="auto" w:fill="CFF0FC"/>
          </w:tcPr>
          <w:p>
            <w:pPr>
              <w:jc w:val="right"/>
              <w:ind w:right="706"/>
              <w:spacing w:after="0" w:line="129" w:lineRule="exact"/>
              <w:rPr>
                <w:sz w:val="20"/>
                <w:szCs w:val="20"/>
                <w:color w:val="auto"/>
              </w:rPr>
            </w:pPr>
            <w:r>
              <w:rPr>
                <w:rFonts w:ascii="Times New Roman" w:cs="Times New Roman" w:eastAsia="Times New Roman" w:hAnsi="Times New Roman"/>
                <w:sz w:val="13"/>
                <w:szCs w:val="13"/>
                <w:color w:val="auto"/>
              </w:rPr>
              <w:t>141,4</w:t>
            </w:r>
          </w:p>
        </w:tc>
        <w:tc>
          <w:tcPr>
            <w:tcW w:w="1800" w:type="dxa"/>
            <w:vAlign w:val="bottom"/>
            <w:gridSpan w:val="13"/>
            <w:shd w:val="clear" w:color="auto" w:fill="CFF0FC"/>
          </w:tcPr>
          <w:p>
            <w:pPr>
              <w:jc w:val="right"/>
              <w:ind w:right="1140"/>
              <w:spacing w:after="0" w:line="129" w:lineRule="exact"/>
              <w:rPr>
                <w:sz w:val="20"/>
                <w:szCs w:val="20"/>
                <w:color w:val="auto"/>
              </w:rPr>
            </w:pPr>
            <w:r>
              <w:rPr>
                <w:rFonts w:ascii="Times New Roman" w:cs="Times New Roman" w:eastAsia="Times New Roman" w:hAnsi="Times New Roman"/>
                <w:sz w:val="13"/>
                <w:szCs w:val="13"/>
                <w:color w:val="auto"/>
              </w:rPr>
              <w:t>(368,</w:t>
            </w:r>
          </w:p>
        </w:tc>
        <w:tc>
          <w:tcPr>
            <w:tcW w:w="0" w:type="dxa"/>
            <w:vAlign w:val="bottom"/>
          </w:tcPr>
          <w:p>
            <w:pPr>
              <w:spacing w:after="0"/>
              <w:rPr>
                <w:sz w:val="1"/>
                <w:szCs w:val="1"/>
                <w:color w:val="auto"/>
              </w:rPr>
            </w:pPr>
          </w:p>
        </w:tc>
      </w:tr>
      <w:tr>
        <w:trPr>
          <w:trHeight w:val="161"/>
        </w:trPr>
        <w:tc>
          <w:tcPr>
            <w:tcW w:w="2460" w:type="dxa"/>
            <w:vAlign w:val="bottom"/>
            <w:gridSpan w:val="2"/>
            <w:vMerge w:val="continue"/>
            <w:shd w:val="clear" w:color="auto" w:fill="CFF0FC"/>
          </w:tcPr>
          <w:p>
            <w:pPr>
              <w:spacing w:after="0"/>
              <w:rPr>
                <w:sz w:val="14"/>
                <w:szCs w:val="14"/>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347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3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13,613,269</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4"/>
            <w:shd w:val="clear" w:color="auto" w:fill="CFF0FC"/>
          </w:tcPr>
          <w:p>
            <w:pPr>
              <w:jc w:val="center"/>
              <w:ind w:left="7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3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056)</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(226,560)</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3300" w:type="dxa"/>
            <w:vAlign w:val="bottom"/>
            <w:gridSpan w:val="8"/>
          </w:tcPr>
          <w:p>
            <w:pPr>
              <w:jc w:val="right"/>
              <w:ind w:right="3300"/>
              <w:spacing w:after="0"/>
              <w:rPr>
                <w:sz w:val="20"/>
                <w:szCs w:val="20"/>
                <w:color w:val="auto"/>
              </w:rPr>
            </w:pPr>
            <w:r>
              <w:rPr>
                <w:rFonts w:ascii="Times New Roman" w:cs="Times New Roman" w:eastAsia="Times New Roman" w:hAnsi="Times New Roman"/>
                <w:sz w:val="13"/>
                <w:szCs w:val="13"/>
                <w:color w:val="auto"/>
              </w:rPr>
              <w:t>(34,712</w:t>
            </w:r>
          </w:p>
        </w:tc>
        <w:tc>
          <w:tcPr>
            <w:tcW w:w="4980" w:type="dxa"/>
            <w:vAlign w:val="bottom"/>
            <w:gridSpan w:val="52"/>
          </w:tcPr>
          <w:p>
            <w:pPr>
              <w:jc w:val="right"/>
              <w:ind w:right="4557"/>
              <w:spacing w:after="0"/>
              <w:rPr>
                <w:sz w:val="20"/>
                <w:szCs w:val="20"/>
                <w:color w:val="auto"/>
              </w:rPr>
            </w:pPr>
            <w:r>
              <w:rPr>
                <w:rFonts w:ascii="Times New Roman" w:cs="Times New Roman" w:eastAsia="Times New Roman" w:hAnsi="Times New Roman"/>
                <w:sz w:val="13"/>
                <w:szCs w:val="13"/>
                <w:color w:val="auto"/>
              </w:rPr>
              <w:t>3,34</w:t>
            </w:r>
          </w:p>
        </w:tc>
        <w:tc>
          <w:tcPr>
            <w:tcW w:w="2960" w:type="dxa"/>
            <w:vAlign w:val="bottom"/>
            <w:gridSpan w:val="24"/>
          </w:tcPr>
          <w:p>
            <w:pPr>
              <w:jc w:val="right"/>
              <w:ind w:right="2560"/>
              <w:spacing w:after="0"/>
              <w:rPr>
                <w:sz w:val="20"/>
                <w:szCs w:val="20"/>
                <w:color w:val="auto"/>
              </w:rPr>
            </w:pPr>
            <w:r>
              <w:rPr>
                <w:rFonts w:ascii="Times New Roman" w:cs="Times New Roman" w:eastAsia="Times New Roman" w:hAnsi="Times New Roman"/>
                <w:sz w:val="13"/>
                <w:szCs w:val="13"/>
                <w:color w:val="auto"/>
              </w:rPr>
              <w:t>173,3</w:t>
            </w:r>
          </w:p>
        </w:tc>
        <w:tc>
          <w:tcPr>
            <w:tcW w:w="0" w:type="dxa"/>
            <w:vAlign w:val="bottom"/>
          </w:tcPr>
          <w:p>
            <w:pPr>
              <w:spacing w:after="0"/>
              <w:rPr>
                <w:sz w:val="1"/>
                <w:szCs w:val="1"/>
                <w:color w:val="auto"/>
              </w:rPr>
            </w:pPr>
          </w:p>
        </w:tc>
      </w:tr>
      <w:tr>
        <w:trPr>
          <w:trHeight w:val="161"/>
        </w:trPr>
        <w:tc>
          <w:tcPr>
            <w:tcW w:w="24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2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gridSpan w:val="3"/>
            <w:shd w:val="clear" w:color="auto" w:fill="CFF0FC"/>
          </w:tcPr>
          <w:p>
            <w:pPr>
              <w:spacing w:after="0"/>
              <w:rPr>
                <w:sz w:val="11"/>
                <w:szCs w:val="11"/>
                <w:color w:val="auto"/>
              </w:rPr>
            </w:pPr>
          </w:p>
        </w:tc>
        <w:tc>
          <w:tcPr>
            <w:tcW w:w="580" w:type="dxa"/>
            <w:vAlign w:val="bottom"/>
            <w:tcBorders>
              <w:top w:val="single" w:sz="8" w:color="auto"/>
            </w:tcBorders>
            <w:gridSpan w:val="2"/>
            <w:shd w:val="clear" w:color="auto" w:fill="CFF0FC"/>
          </w:tcPr>
          <w:p>
            <w:pPr>
              <w:spacing w:after="0"/>
              <w:rPr>
                <w:sz w:val="11"/>
                <w:szCs w:val="11"/>
                <w:color w:val="auto"/>
              </w:rPr>
            </w:pPr>
          </w:p>
        </w:tc>
        <w:tc>
          <w:tcPr>
            <w:tcW w:w="240" w:type="dxa"/>
            <w:vAlign w:val="bottom"/>
            <w:gridSpan w:val="3"/>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tcBorders>
              <w:top w:val="single" w:sz="8" w:color="auto"/>
            </w:tcBorders>
            <w:gridSpan w:val="6"/>
            <w:shd w:val="clear" w:color="auto" w:fill="CFF0FC"/>
          </w:tcPr>
          <w:p>
            <w:pPr>
              <w:spacing w:after="0"/>
              <w:rPr>
                <w:sz w:val="11"/>
                <w:szCs w:val="11"/>
                <w:color w:val="auto"/>
              </w:rPr>
            </w:pPr>
          </w:p>
        </w:tc>
        <w:tc>
          <w:tcPr>
            <w:tcW w:w="240" w:type="dxa"/>
            <w:vAlign w:val="bottom"/>
            <w:gridSpan w:val="2"/>
            <w:shd w:val="clear" w:color="auto" w:fill="CFF0FC"/>
          </w:tcPr>
          <w:p>
            <w:pPr>
              <w:spacing w:after="0"/>
              <w:rPr>
                <w:sz w:val="11"/>
                <w:szCs w:val="11"/>
                <w:color w:val="auto"/>
              </w:rPr>
            </w:pPr>
          </w:p>
        </w:tc>
        <w:tc>
          <w:tcPr>
            <w:tcW w:w="380" w:type="dxa"/>
            <w:vAlign w:val="bottom"/>
            <w:tcBorders>
              <w:top w:val="single" w:sz="8" w:color="auto"/>
            </w:tcBorders>
            <w:gridSpan w:val="3"/>
            <w:shd w:val="clear" w:color="auto" w:fill="CFF0FC"/>
          </w:tcPr>
          <w:p>
            <w:pPr>
              <w:spacing w:after="0"/>
              <w:rPr>
                <w:sz w:val="11"/>
                <w:szCs w:val="11"/>
                <w:color w:val="auto"/>
              </w:rPr>
            </w:pPr>
          </w:p>
        </w:tc>
        <w:tc>
          <w:tcPr>
            <w:tcW w:w="240" w:type="dxa"/>
            <w:vAlign w:val="bottom"/>
            <w:gridSpan w:val="4"/>
            <w:shd w:val="clear" w:color="auto" w:fill="CFF0FC"/>
          </w:tcPr>
          <w:p>
            <w:pPr>
              <w:spacing w:after="0"/>
              <w:rPr>
                <w:sz w:val="11"/>
                <w:szCs w:val="11"/>
                <w:color w:val="auto"/>
              </w:rPr>
            </w:pPr>
          </w:p>
        </w:tc>
        <w:tc>
          <w:tcPr>
            <w:tcW w:w="800" w:type="dxa"/>
            <w:vAlign w:val="bottom"/>
            <w:tcBorders>
              <w:top w:val="single" w:sz="8" w:color="auto"/>
            </w:tcBorders>
            <w:gridSpan w:val="4"/>
            <w:shd w:val="clear" w:color="auto" w:fill="CFF0FC"/>
          </w:tcPr>
          <w:p>
            <w:pPr>
              <w:spacing w:after="0"/>
              <w:rPr>
                <w:sz w:val="11"/>
                <w:szCs w:val="11"/>
                <w:color w:val="auto"/>
              </w:rPr>
            </w:pPr>
          </w:p>
        </w:tc>
        <w:tc>
          <w:tcPr>
            <w:tcW w:w="220" w:type="dxa"/>
            <w:vAlign w:val="bottom"/>
            <w:gridSpan w:val="4"/>
            <w:shd w:val="clear" w:color="auto" w:fill="CFF0FC"/>
          </w:tcPr>
          <w:p>
            <w:pPr>
              <w:spacing w:after="0"/>
              <w:rPr>
                <w:sz w:val="11"/>
                <w:szCs w:val="11"/>
                <w:color w:val="auto"/>
              </w:rPr>
            </w:pPr>
          </w:p>
        </w:tc>
        <w:tc>
          <w:tcPr>
            <w:tcW w:w="300" w:type="dxa"/>
            <w:vAlign w:val="bottom"/>
            <w:tcBorders>
              <w:top w:val="single" w:sz="8" w:color="auto"/>
            </w:tcBorders>
            <w:gridSpan w:val="2"/>
            <w:shd w:val="clear" w:color="auto" w:fill="CFF0FC"/>
          </w:tcPr>
          <w:p>
            <w:pPr>
              <w:spacing w:after="0"/>
              <w:rPr>
                <w:sz w:val="11"/>
                <w:szCs w:val="11"/>
                <w:color w:val="auto"/>
              </w:rPr>
            </w:pPr>
          </w:p>
        </w:tc>
        <w:tc>
          <w:tcPr>
            <w:tcW w:w="220" w:type="dxa"/>
            <w:vAlign w:val="bottom"/>
            <w:gridSpan w:val="4"/>
            <w:shd w:val="clear" w:color="auto" w:fill="CFF0FC"/>
          </w:tcPr>
          <w:p>
            <w:pPr>
              <w:spacing w:after="0"/>
              <w:rPr>
                <w:sz w:val="11"/>
                <w:szCs w:val="11"/>
                <w:color w:val="auto"/>
              </w:rPr>
            </w:pPr>
          </w:p>
        </w:tc>
        <w:tc>
          <w:tcPr>
            <w:tcW w:w="540" w:type="dxa"/>
            <w:vAlign w:val="bottom"/>
            <w:tcBorders>
              <w:top w:val="single" w:sz="8" w:color="auto"/>
            </w:tcBorders>
            <w:gridSpan w:val="6"/>
            <w:shd w:val="clear" w:color="auto" w:fill="CFF0FC"/>
          </w:tcPr>
          <w:p>
            <w:pPr>
              <w:spacing w:after="0"/>
              <w:rPr>
                <w:sz w:val="11"/>
                <w:szCs w:val="11"/>
                <w:color w:val="auto"/>
              </w:rPr>
            </w:pPr>
          </w:p>
        </w:tc>
        <w:tc>
          <w:tcPr>
            <w:tcW w:w="220" w:type="dxa"/>
            <w:vAlign w:val="bottom"/>
            <w:gridSpan w:val="4"/>
            <w:shd w:val="clear" w:color="auto" w:fill="CFF0FC"/>
          </w:tcPr>
          <w:p>
            <w:pPr>
              <w:spacing w:after="0"/>
              <w:rPr>
                <w:sz w:val="11"/>
                <w:szCs w:val="11"/>
                <w:color w:val="auto"/>
              </w:rPr>
            </w:pPr>
          </w:p>
        </w:tc>
        <w:tc>
          <w:tcPr>
            <w:tcW w:w="340" w:type="dxa"/>
            <w:vAlign w:val="bottom"/>
            <w:tcBorders>
              <w:top w:val="single" w:sz="8" w:color="auto"/>
            </w:tcBorders>
            <w:gridSpan w:val="4"/>
            <w:shd w:val="clear" w:color="auto" w:fill="CFF0FC"/>
          </w:tcPr>
          <w:p>
            <w:pPr>
              <w:spacing w:after="0"/>
              <w:rPr>
                <w:sz w:val="11"/>
                <w:szCs w:val="11"/>
                <w:color w:val="auto"/>
              </w:rPr>
            </w:pPr>
          </w:p>
        </w:tc>
        <w:tc>
          <w:tcPr>
            <w:tcW w:w="100" w:type="dxa"/>
            <w:vAlign w:val="bottom"/>
            <w:gridSpan w:val="2"/>
            <w:shd w:val="clear" w:color="auto" w:fill="CFF0FC"/>
          </w:tcPr>
          <w:p>
            <w:pPr>
              <w:spacing w:after="0"/>
              <w:rPr>
                <w:sz w:val="11"/>
                <w:szCs w:val="11"/>
                <w:color w:val="auto"/>
              </w:rPr>
            </w:pPr>
          </w:p>
        </w:tc>
        <w:tc>
          <w:tcPr>
            <w:tcW w:w="600" w:type="dxa"/>
            <w:vAlign w:val="bottom"/>
            <w:tcBorders>
              <w:top w:val="single" w:sz="8" w:color="auto"/>
            </w:tcBorders>
            <w:gridSpan w:val="5"/>
            <w:shd w:val="clear" w:color="auto" w:fill="CFF0FC"/>
          </w:tcPr>
          <w:p>
            <w:pPr>
              <w:jc w:val="right"/>
              <w:ind w:right="540"/>
              <w:spacing w:after="0"/>
              <w:rPr>
                <w:sz w:val="20"/>
                <w:szCs w:val="20"/>
                <w:color w:val="auto"/>
              </w:rPr>
            </w:pPr>
            <w:r>
              <w:rPr>
                <w:rFonts w:ascii="Times New Roman" w:cs="Times New Roman" w:eastAsia="Times New Roman" w:hAnsi="Times New Roman"/>
                <w:sz w:val="13"/>
                <w:szCs w:val="13"/>
                <w:color w:val="auto"/>
              </w:rPr>
              <w:t>314,8</w:t>
            </w:r>
          </w:p>
        </w:tc>
        <w:tc>
          <w:tcPr>
            <w:tcW w:w="220" w:type="dxa"/>
            <w:vAlign w:val="bottom"/>
            <w:gridSpan w:val="4"/>
            <w:shd w:val="clear" w:color="auto" w:fill="CFF0FC"/>
          </w:tcPr>
          <w:p>
            <w:pPr>
              <w:spacing w:after="0"/>
              <w:rPr>
                <w:sz w:val="11"/>
                <w:szCs w:val="11"/>
                <w:color w:val="auto"/>
              </w:rPr>
            </w:pPr>
          </w:p>
        </w:tc>
        <w:tc>
          <w:tcPr>
            <w:tcW w:w="520" w:type="dxa"/>
            <w:vAlign w:val="bottom"/>
            <w:tcBorders>
              <w:top w:val="single" w:sz="8" w:color="auto"/>
            </w:tcBorders>
            <w:gridSpan w:val="5"/>
            <w:shd w:val="clear" w:color="auto" w:fill="CFF0FC"/>
          </w:tcPr>
          <w:p>
            <w:pPr>
              <w:spacing w:after="0"/>
              <w:rPr>
                <w:sz w:val="11"/>
                <w:szCs w:val="11"/>
                <w:color w:val="auto"/>
              </w:rPr>
            </w:pPr>
          </w:p>
        </w:tc>
        <w:tc>
          <w:tcPr>
            <w:tcW w:w="220" w:type="dxa"/>
            <w:vAlign w:val="bottom"/>
            <w:gridSpan w:val="2"/>
            <w:shd w:val="clear" w:color="auto" w:fill="CFF0FC"/>
          </w:tcPr>
          <w:p>
            <w:pPr>
              <w:spacing w:after="0"/>
              <w:rPr>
                <w:sz w:val="11"/>
                <w:szCs w:val="11"/>
                <w:color w:val="auto"/>
              </w:rPr>
            </w:pPr>
          </w:p>
        </w:tc>
        <w:tc>
          <w:tcPr>
            <w:tcW w:w="460" w:type="dxa"/>
            <w:vAlign w:val="bottom"/>
            <w:tcBorders>
              <w:top w:val="single" w:sz="8" w:color="auto"/>
            </w:tcBorders>
            <w:gridSpan w:val="4"/>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(368,</w:t>
            </w:r>
          </w:p>
        </w:tc>
        <w:tc>
          <w:tcPr>
            <w:tcW w:w="220" w:type="dxa"/>
            <w:vAlign w:val="bottom"/>
            <w:gridSpan w:val="3"/>
            <w:shd w:val="clear" w:color="auto" w:fill="CFF0FC"/>
          </w:tcPr>
          <w:p>
            <w:pPr>
              <w:spacing w:after="0"/>
              <w:rPr>
                <w:sz w:val="11"/>
                <w:szCs w:val="11"/>
                <w:color w:val="auto"/>
              </w:rPr>
            </w:pPr>
          </w:p>
        </w:tc>
        <w:tc>
          <w:tcPr>
            <w:tcW w:w="800" w:type="dxa"/>
            <w:vAlign w:val="bottom"/>
            <w:tcBorders>
              <w:top w:val="single" w:sz="8" w:color="auto"/>
            </w:tcBorders>
            <w:gridSpan w:val="3"/>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0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560" w:type="dxa"/>
            <w:vAlign w:val="bottom"/>
            <w:gridSpan w:val="6"/>
            <w:shd w:val="clear" w:color="auto" w:fill="CFF0FC"/>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shd w:val="clear" w:color="auto" w:fill="CFF0FC"/>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shd w:val="clear" w:color="auto" w:fill="CFF0FC"/>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shd w:val="clear" w:color="auto" w:fill="CFF0FC"/>
          </w:tcPr>
          <w:p>
            <w:pPr>
              <w:jc w:val="right"/>
              <w:ind w:right="244"/>
              <w:spacing w:after="0"/>
              <w:rPr>
                <w:sz w:val="20"/>
                <w:szCs w:val="20"/>
                <w:color w:val="auto"/>
              </w:rPr>
            </w:pPr>
            <w:r>
              <w:rPr>
                <w:rFonts w:ascii="Times New Roman" w:cs="Times New Roman" w:eastAsia="Times New Roman" w:hAnsi="Times New Roman"/>
                <w:sz w:val="13"/>
                <w:szCs w:val="13"/>
                <w:color w:val="auto"/>
              </w:rPr>
              <w:t>48,325,794</w:t>
            </w:r>
          </w:p>
        </w:tc>
        <w:tc>
          <w:tcPr>
            <w:tcW w:w="860" w:type="dxa"/>
            <w:vAlign w:val="bottom"/>
            <w:gridSpan w:val="8"/>
            <w:shd w:val="clear" w:color="auto" w:fill="CFF0FC"/>
          </w:tcPr>
          <w:p>
            <w:pPr>
              <w:jc w:val="right"/>
              <w:ind w:right="575"/>
              <w:spacing w:after="0"/>
              <w:rPr>
                <w:sz w:val="20"/>
                <w:szCs w:val="20"/>
                <w:color w:val="auto"/>
              </w:rPr>
            </w:pPr>
            <w:r>
              <w:rPr>
                <w:rFonts w:ascii="Times New Roman" w:cs="Times New Roman" w:eastAsia="Times New Roman" w:hAnsi="Times New Roman"/>
                <w:sz w:val="13"/>
                <w:szCs w:val="13"/>
                <w:color w:val="auto"/>
              </w:rPr>
              <w:t>5</w:t>
            </w:r>
          </w:p>
        </w:tc>
        <w:tc>
          <w:tcPr>
            <w:tcW w:w="560" w:type="dxa"/>
            <w:vAlign w:val="bottom"/>
            <w:gridSpan w:val="9"/>
            <w:shd w:val="clear" w:color="auto" w:fill="CFF0FC"/>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533"/>
              <w:spacing w:after="0"/>
              <w:rPr>
                <w:sz w:val="20"/>
                <w:szCs w:val="20"/>
                <w:color w:val="auto"/>
              </w:rPr>
            </w:pPr>
            <w:r>
              <w:rPr>
                <w:rFonts w:ascii="Times New Roman" w:cs="Times New Roman" w:eastAsia="Times New Roman" w:hAnsi="Times New Roman"/>
                <w:sz w:val="13"/>
                <w:szCs w:val="13"/>
                <w:color w:val="auto"/>
              </w:rPr>
              <w:t>38</w:t>
            </w:r>
          </w:p>
        </w:tc>
        <w:tc>
          <w:tcPr>
            <w:tcW w:w="620" w:type="dxa"/>
            <w:vAlign w:val="bottom"/>
            <w:gridSpan w:val="7"/>
            <w:shd w:val="clear" w:color="auto" w:fill="CFF0FC"/>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185"/>
              <w:spacing w:after="0"/>
              <w:rPr>
                <w:sz w:val="20"/>
                <w:szCs w:val="20"/>
                <w:color w:val="auto"/>
              </w:rPr>
            </w:pPr>
            <w:r>
              <w:rPr>
                <w:rFonts w:ascii="Times New Roman" w:cs="Times New Roman" w:eastAsia="Times New Roman" w:hAnsi="Times New Roman"/>
                <w:sz w:val="13"/>
                <w:szCs w:val="13"/>
                <w:color w:val="auto"/>
              </w:rPr>
              <w:t>056)</w:t>
            </w: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(53,213)</w:t>
            </w:r>
          </w:p>
        </w:tc>
        <w:tc>
          <w:tcPr>
            <w:tcW w:w="0" w:type="dxa"/>
            <w:vAlign w:val="bottom"/>
          </w:tcPr>
          <w:p>
            <w:pPr>
              <w:spacing w:after="0"/>
              <w:rPr>
                <w:sz w:val="1"/>
                <w:szCs w:val="1"/>
                <w:color w:val="auto"/>
              </w:rPr>
            </w:pPr>
          </w:p>
        </w:tc>
      </w:tr>
      <w:tr>
        <w:trPr>
          <w:trHeight w:val="149"/>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gridSpan w:val="6"/>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1"/>
          </w:tcPr>
          <w:p>
            <w:pPr>
              <w:jc w:val="right"/>
              <w:ind w:right="244"/>
              <w:spacing w:after="0"/>
              <w:rPr>
                <w:sz w:val="20"/>
                <w:szCs w:val="20"/>
                <w:color w:val="auto"/>
              </w:rPr>
            </w:pPr>
            <w:r>
              <w:rPr>
                <w:rFonts w:ascii="Times New Roman" w:cs="Times New Roman" w:eastAsia="Times New Roman" w:hAnsi="Times New Roman"/>
                <w:sz w:val="13"/>
                <w:szCs w:val="13"/>
                <w:color w:val="auto"/>
              </w:rPr>
              <w:t>20,437</w:t>
            </w:r>
          </w:p>
        </w:tc>
        <w:tc>
          <w:tcPr>
            <w:tcW w:w="860" w:type="dxa"/>
            <w:vAlign w:val="bottom"/>
            <w:gridSpan w:val="8"/>
          </w:tcPr>
          <w:p>
            <w:pPr>
              <w:jc w:val="right"/>
              <w:ind w:right="5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9"/>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jc w:val="right"/>
              <w:ind w:right="533"/>
              <w:spacing w:after="0"/>
              <w:rPr>
                <w:sz w:val="20"/>
                <w:szCs w:val="20"/>
                <w:color w:val="auto"/>
              </w:rPr>
            </w:pPr>
            <w:r>
              <w:rPr>
                <w:rFonts w:ascii="Times New Roman" w:cs="Times New Roman" w:eastAsia="Times New Roman" w:hAnsi="Times New Roman"/>
                <w:sz w:val="13"/>
                <w:szCs w:val="13"/>
                <w:color w:val="auto"/>
              </w:rPr>
              <w:t>42</w:t>
            </w:r>
          </w:p>
        </w:tc>
        <w:tc>
          <w:tcPr>
            <w:tcW w:w="620" w:type="dxa"/>
            <w:vAlign w:val="bottom"/>
            <w:gridSpan w:val="7"/>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48"/>
        </w:trPr>
        <w:tc>
          <w:tcPr>
            <w:tcW w:w="290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6"/>
            <w:shd w:val="clear" w:color="auto" w:fill="CFF0FC"/>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shd w:val="clear" w:color="auto" w:fill="CFF0FC"/>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shd w:val="clear" w:color="auto" w:fill="CFF0FC"/>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24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8"/>
            <w:shd w:val="clear" w:color="auto" w:fill="CFF0FC"/>
          </w:tcPr>
          <w:p>
            <w:pPr>
              <w:jc w:val="right"/>
              <w:ind w:right="5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9"/>
            <w:shd w:val="clear" w:color="auto" w:fill="CFF0FC"/>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shd w:val="clear" w:color="auto" w:fill="CFF0FC"/>
          </w:tcPr>
          <w:p>
            <w:pPr>
              <w:jc w:val="right"/>
              <w:ind w:right="533"/>
              <w:spacing w:after="0"/>
              <w:rPr>
                <w:sz w:val="20"/>
                <w:szCs w:val="20"/>
                <w:color w:val="auto"/>
              </w:rPr>
            </w:pPr>
            <w:r>
              <w:rPr>
                <w:rFonts w:ascii="Times New Roman" w:cs="Times New Roman" w:eastAsia="Times New Roman" w:hAnsi="Times New Roman"/>
                <w:sz w:val="13"/>
                <w:szCs w:val="13"/>
                <w:color w:val="auto"/>
              </w:rPr>
              <w:t>683</w:t>
            </w:r>
          </w:p>
        </w:tc>
        <w:tc>
          <w:tcPr>
            <w:tcW w:w="620" w:type="dxa"/>
            <w:vAlign w:val="bottom"/>
            <w:gridSpan w:val="7"/>
            <w:shd w:val="clear" w:color="auto" w:fill="CFF0FC"/>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683</w:t>
            </w:r>
          </w:p>
        </w:tc>
        <w:tc>
          <w:tcPr>
            <w:tcW w:w="0" w:type="dxa"/>
            <w:vAlign w:val="bottom"/>
          </w:tcPr>
          <w:p>
            <w:pPr>
              <w:spacing w:after="0"/>
              <w:rPr>
                <w:sz w:val="1"/>
                <w:szCs w:val="1"/>
                <w:color w:val="auto"/>
              </w:rPr>
            </w:pPr>
          </w:p>
        </w:tc>
      </w:tr>
      <w:tr>
        <w:trPr>
          <w:trHeight w:val="136"/>
        </w:trPr>
        <w:tc>
          <w:tcPr>
            <w:tcW w:w="11240" w:type="dxa"/>
            <w:vAlign w:val="bottom"/>
            <w:gridSpan w:val="84"/>
          </w:tcPr>
          <w:p>
            <w:pPr>
              <w:jc w:val="right"/>
              <w:ind w:right="11240"/>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61"/>
        </w:trPr>
        <w:tc>
          <w:tcPr>
            <w:tcW w:w="290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6"/>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6"/>
          </w:tcPr>
          <w:p>
            <w:pPr>
              <w:jc w:val="right"/>
              <w:ind w:right="379"/>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6"/>
          </w:tcPr>
          <w:p>
            <w:pPr>
              <w:jc w:val="right"/>
              <w:ind w:right="24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8"/>
          </w:tcPr>
          <w:p>
            <w:pPr>
              <w:jc w:val="right"/>
              <w:ind w:right="57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9"/>
          </w:tcPr>
          <w:p>
            <w:pPr>
              <w:jc w:val="right"/>
              <w:ind w:right="358"/>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8"/>
          </w:tcPr>
          <w:p>
            <w:pPr>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7"/>
          </w:tcPr>
          <w:p>
            <w:pPr>
              <w:jc w:val="right"/>
              <w:ind w:right="533"/>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7"/>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185"/>
              <w:spacing w:after="0"/>
              <w:rPr>
                <w:sz w:val="20"/>
                <w:szCs w:val="20"/>
                <w:color w:val="auto"/>
              </w:rPr>
            </w:pPr>
            <w:r>
              <w:rPr>
                <w:rFonts w:ascii="Times New Roman" w:cs="Times New Roman" w:eastAsia="Times New Roman" w:hAnsi="Times New Roman"/>
                <w:sz w:val="13"/>
                <w:szCs w:val="13"/>
                <w:color w:val="auto"/>
              </w:rPr>
              <w:t>96)</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(28,896)</w:t>
            </w:r>
          </w:p>
        </w:tc>
        <w:tc>
          <w:tcPr>
            <w:tcW w:w="0" w:type="dxa"/>
            <w:vAlign w:val="bottom"/>
          </w:tcPr>
          <w:p>
            <w:pPr>
              <w:spacing w:after="0"/>
              <w:rPr>
                <w:sz w:val="1"/>
                <w:szCs w:val="1"/>
                <w:color w:val="auto"/>
              </w:rPr>
            </w:pPr>
          </w:p>
        </w:tc>
      </w:tr>
      <w:tr>
        <w:trPr>
          <w:trHeight w:val="125"/>
        </w:trPr>
        <w:tc>
          <w:tcPr>
            <w:tcW w:w="2480" w:type="dxa"/>
            <w:vAlign w:val="bottom"/>
            <w:gridSpan w:val="3"/>
            <w:shd w:val="clear" w:color="auto" w:fill="CFF0FC"/>
          </w:tcPr>
          <w:p>
            <w:pPr>
              <w:spacing w:after="0"/>
              <w:rPr>
                <w:sz w:val="10"/>
                <w:szCs w:val="10"/>
                <w:color w:val="auto"/>
              </w:rPr>
            </w:pPr>
          </w:p>
        </w:tc>
        <w:tc>
          <w:tcPr>
            <w:tcW w:w="580" w:type="dxa"/>
            <w:vAlign w:val="bottom"/>
            <w:tcBorders>
              <w:top w:val="single" w:sz="8" w:color="auto"/>
            </w:tcBorders>
            <w:gridSpan w:val="2"/>
            <w:shd w:val="clear" w:color="auto" w:fill="CFF0FC"/>
          </w:tcPr>
          <w:p>
            <w:pPr>
              <w:spacing w:after="0"/>
              <w:rPr>
                <w:sz w:val="10"/>
                <w:szCs w:val="10"/>
                <w:color w:val="auto"/>
              </w:rPr>
            </w:pPr>
          </w:p>
        </w:tc>
        <w:tc>
          <w:tcPr>
            <w:tcW w:w="240" w:type="dxa"/>
            <w:vAlign w:val="bottom"/>
            <w:gridSpan w:val="3"/>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580" w:type="dxa"/>
            <w:vAlign w:val="bottom"/>
            <w:tcBorders>
              <w:top w:val="single" w:sz="8" w:color="auto"/>
            </w:tcBorders>
            <w:gridSpan w:val="5"/>
            <w:shd w:val="clear" w:color="auto" w:fill="CFF0FC"/>
          </w:tcPr>
          <w:p>
            <w:pPr>
              <w:spacing w:after="0"/>
              <w:rPr>
                <w:sz w:val="10"/>
                <w:szCs w:val="10"/>
                <w:color w:val="auto"/>
              </w:rPr>
            </w:pPr>
          </w:p>
        </w:tc>
        <w:tc>
          <w:tcPr>
            <w:tcW w:w="240" w:type="dxa"/>
            <w:vAlign w:val="bottom"/>
            <w:gridSpan w:val="2"/>
            <w:shd w:val="clear" w:color="auto" w:fill="CFF0FC"/>
          </w:tcPr>
          <w:p>
            <w:pPr>
              <w:spacing w:after="0"/>
              <w:rPr>
                <w:sz w:val="10"/>
                <w:szCs w:val="10"/>
                <w:color w:val="auto"/>
              </w:rPr>
            </w:pPr>
          </w:p>
        </w:tc>
        <w:tc>
          <w:tcPr>
            <w:tcW w:w="380" w:type="dxa"/>
            <w:vAlign w:val="bottom"/>
            <w:tcBorders>
              <w:top w:val="single" w:sz="8" w:color="auto"/>
            </w:tcBorders>
            <w:gridSpan w:val="3"/>
            <w:shd w:val="clear" w:color="auto" w:fill="CFF0FC"/>
          </w:tcPr>
          <w:p>
            <w:pPr>
              <w:spacing w:after="0"/>
              <w:rPr>
                <w:sz w:val="10"/>
                <w:szCs w:val="10"/>
                <w:color w:val="auto"/>
              </w:rPr>
            </w:pPr>
          </w:p>
        </w:tc>
        <w:tc>
          <w:tcPr>
            <w:tcW w:w="240" w:type="dxa"/>
            <w:vAlign w:val="bottom"/>
            <w:gridSpan w:val="4"/>
            <w:shd w:val="clear" w:color="auto" w:fill="CFF0FC"/>
          </w:tcPr>
          <w:p>
            <w:pPr>
              <w:spacing w:after="0"/>
              <w:rPr>
                <w:sz w:val="10"/>
                <w:szCs w:val="10"/>
                <w:color w:val="auto"/>
              </w:rPr>
            </w:pPr>
          </w:p>
        </w:tc>
        <w:tc>
          <w:tcPr>
            <w:tcW w:w="800" w:type="dxa"/>
            <w:vAlign w:val="bottom"/>
            <w:tcBorders>
              <w:top w:val="single" w:sz="8" w:color="auto"/>
            </w:tcBorders>
            <w:gridSpan w:val="4"/>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300" w:type="dxa"/>
            <w:vAlign w:val="bottom"/>
            <w:tcBorders>
              <w:top w:val="single" w:sz="8" w:color="auto"/>
            </w:tcBorders>
            <w:gridSpan w:val="2"/>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540" w:type="dxa"/>
            <w:vAlign w:val="bottom"/>
            <w:tcBorders>
              <w:top w:val="single" w:sz="8" w:color="auto"/>
            </w:tcBorders>
            <w:gridSpan w:val="6"/>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340" w:type="dxa"/>
            <w:vAlign w:val="bottom"/>
            <w:tcBorders>
              <w:top w:val="single" w:sz="8" w:color="auto"/>
            </w:tcBorders>
            <w:gridSpan w:val="4"/>
            <w:shd w:val="clear" w:color="auto" w:fill="CFF0FC"/>
          </w:tcPr>
          <w:p>
            <w:pPr>
              <w:spacing w:after="0"/>
              <w:rPr>
                <w:sz w:val="10"/>
                <w:szCs w:val="10"/>
                <w:color w:val="auto"/>
              </w:rPr>
            </w:pPr>
          </w:p>
        </w:tc>
        <w:tc>
          <w:tcPr>
            <w:tcW w:w="220" w:type="dxa"/>
            <w:vAlign w:val="bottom"/>
            <w:gridSpan w:val="4"/>
            <w:shd w:val="clear" w:color="auto" w:fill="CFF0FC"/>
          </w:tcPr>
          <w:p>
            <w:pPr>
              <w:spacing w:after="0"/>
              <w:rPr>
                <w:sz w:val="10"/>
                <w:szCs w:val="10"/>
                <w:color w:val="auto"/>
              </w:rPr>
            </w:pPr>
          </w:p>
        </w:tc>
        <w:tc>
          <w:tcPr>
            <w:tcW w:w="480" w:type="dxa"/>
            <w:vAlign w:val="bottom"/>
            <w:tcBorders>
              <w:top w:val="single" w:sz="8" w:color="auto"/>
            </w:tcBorders>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315,5</w:t>
            </w:r>
          </w:p>
        </w:tc>
        <w:tc>
          <w:tcPr>
            <w:tcW w:w="220" w:type="dxa"/>
            <w:vAlign w:val="bottom"/>
            <w:gridSpan w:val="4"/>
            <w:shd w:val="clear" w:color="auto" w:fill="CFF0FC"/>
          </w:tcPr>
          <w:p>
            <w:pPr>
              <w:spacing w:after="0"/>
              <w:rPr>
                <w:sz w:val="10"/>
                <w:szCs w:val="10"/>
                <w:color w:val="auto"/>
              </w:rPr>
            </w:pPr>
          </w:p>
        </w:tc>
        <w:tc>
          <w:tcPr>
            <w:tcW w:w="520" w:type="dxa"/>
            <w:vAlign w:val="bottom"/>
            <w:tcBorders>
              <w:top w:val="single" w:sz="8" w:color="auto"/>
            </w:tcBorders>
            <w:gridSpan w:val="5"/>
            <w:shd w:val="clear" w:color="auto" w:fill="CFF0FC"/>
          </w:tcPr>
          <w:p>
            <w:pPr>
              <w:spacing w:after="0"/>
              <w:rPr>
                <w:sz w:val="10"/>
                <w:szCs w:val="10"/>
                <w:color w:val="auto"/>
              </w:rPr>
            </w:pPr>
          </w:p>
        </w:tc>
        <w:tc>
          <w:tcPr>
            <w:tcW w:w="220" w:type="dxa"/>
            <w:vAlign w:val="bottom"/>
            <w:gridSpan w:val="2"/>
            <w:shd w:val="clear" w:color="auto" w:fill="CFF0FC"/>
          </w:tcPr>
          <w:p>
            <w:pPr>
              <w:spacing w:after="0"/>
              <w:rPr>
                <w:sz w:val="10"/>
                <w:szCs w:val="10"/>
                <w:color w:val="auto"/>
              </w:rPr>
            </w:pPr>
          </w:p>
        </w:tc>
        <w:tc>
          <w:tcPr>
            <w:tcW w:w="460" w:type="dxa"/>
            <w:vAlign w:val="bottom"/>
            <w:tcBorders>
              <w:top w:val="single" w:sz="8" w:color="auto"/>
            </w:tcBorders>
            <w:gridSpan w:val="4"/>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(396,</w:t>
            </w:r>
          </w:p>
        </w:tc>
        <w:tc>
          <w:tcPr>
            <w:tcW w:w="220" w:type="dxa"/>
            <w:vAlign w:val="bottom"/>
            <w:gridSpan w:val="3"/>
            <w:shd w:val="clear" w:color="auto" w:fill="CFF0FC"/>
          </w:tcPr>
          <w:p>
            <w:pPr>
              <w:spacing w:after="0"/>
              <w:rPr>
                <w:sz w:val="10"/>
                <w:szCs w:val="10"/>
                <w:color w:val="auto"/>
              </w:rPr>
            </w:pPr>
          </w:p>
        </w:tc>
        <w:tc>
          <w:tcPr>
            <w:tcW w:w="800" w:type="dxa"/>
            <w:vAlign w:val="bottom"/>
            <w:tcBorders>
              <w:top w:val="single" w:sz="8" w:color="auto"/>
            </w:tcBorders>
            <w:gridSpan w:val="3"/>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58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3"/>
            <w:shd w:val="clear" w:color="auto" w:fill="CFF0FC"/>
          </w:tcPr>
          <w:p>
            <w:pPr>
              <w:spacing w:after="0"/>
              <w:rPr>
                <w:sz w:val="17"/>
                <w:szCs w:val="17"/>
                <w:color w:val="auto"/>
              </w:rPr>
            </w:pPr>
          </w:p>
        </w:tc>
        <w:tc>
          <w:tcPr>
            <w:tcW w:w="16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5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59"/>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bottom w:val="single" w:sz="8" w:color="auto"/>
            </w:tcBorders>
            <w:shd w:val="clear" w:color="auto" w:fill="CFF0FC"/>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CFF0FC"/>
            </w:tcBorders>
            <w:gridSpan w:val="4"/>
            <w:shd w:val="clear" w:color="auto" w:fill="CFF0FC"/>
          </w:tcPr>
          <w:p>
            <w:pPr>
              <w:spacing w:after="0"/>
              <w:rPr>
                <w:sz w:val="17"/>
                <w:szCs w:val="17"/>
                <w:color w:val="auto"/>
              </w:rPr>
            </w:pPr>
          </w:p>
        </w:tc>
        <w:tc>
          <w:tcPr>
            <w:tcW w:w="800" w:type="dxa"/>
            <w:vAlign w:val="bottom"/>
            <w:tcBorders>
              <w:bottom w:val="single" w:sz="8" w:color="auto"/>
            </w:tcBorders>
            <w:gridSpan w:val="4"/>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48,346,231</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540" w:type="dxa"/>
            <w:vAlign w:val="bottom"/>
            <w:tcBorders>
              <w:bottom w:val="single" w:sz="8" w:color="auto"/>
            </w:tcBorders>
            <w:gridSpan w:val="6"/>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jc w:val="right"/>
              <w:ind w:right="58"/>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63</w:t>
            </w:r>
          </w:p>
        </w:tc>
        <w:tc>
          <w:tcPr>
            <w:tcW w:w="220" w:type="dxa"/>
            <w:vAlign w:val="bottom"/>
            <w:tcBorders>
              <w:bottom w:val="single" w:sz="8" w:color="CFF0FC"/>
            </w:tcBorders>
            <w:gridSpan w:val="4"/>
            <w:shd w:val="clear" w:color="auto" w:fill="CFF0FC"/>
          </w:tcPr>
          <w:p>
            <w:pPr>
              <w:spacing w:after="0"/>
              <w:rPr>
                <w:sz w:val="17"/>
                <w:szCs w:val="17"/>
                <w:color w:val="auto"/>
              </w:rPr>
            </w:pPr>
          </w:p>
        </w:tc>
        <w:tc>
          <w:tcPr>
            <w:tcW w:w="360" w:type="dxa"/>
            <w:vAlign w:val="bottom"/>
            <w:tcBorders>
              <w:bottom w:val="single" w:sz="8" w:color="auto"/>
            </w:tcBorders>
            <w:gridSpan w:val="2"/>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gridSpan w:val="3"/>
            <w:shd w:val="clear" w:color="auto" w:fill="CFF0FC"/>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2"/>
              </w:rPr>
              <w:t>952</w:t>
            </w:r>
          </w:p>
        </w:tc>
        <w:tc>
          <w:tcPr>
            <w:tcW w:w="220" w:type="dxa"/>
            <w:vAlign w:val="bottom"/>
            <w:tcBorders>
              <w:bottom w:val="single" w:sz="8" w:color="CFF0FC"/>
            </w:tcBorders>
            <w:gridSpan w:val="3"/>
            <w:shd w:val="clear" w:color="auto" w:fill="CFF0FC"/>
          </w:tcPr>
          <w:p>
            <w:pPr>
              <w:jc w:val="right"/>
              <w:ind w:right="113"/>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gridSpan w:val="2"/>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(81,384)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9440" w:type="dxa"/>
            <w:vAlign w:val="bottom"/>
            <w:gridSpan w:val="71"/>
          </w:tcPr>
          <w:p>
            <w:pPr>
              <w:ind w:left="2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440" w:type="dxa"/>
            <w:vAlign w:val="bottom"/>
            <w:gridSpan w:val="47"/>
          </w:tcPr>
          <w:p>
            <w:pPr>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480" w:type="dxa"/>
            <w:vAlign w:val="bottom"/>
            <w:gridSpan w:val="19"/>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w w:val="96"/>
              </w:rPr>
              <w:t>Stockholder's Equity/(Deficit)</w:t>
            </w:r>
          </w:p>
        </w:tc>
        <w:tc>
          <w:tcPr>
            <w:tcW w:w="2320" w:type="dxa"/>
            <w:vAlign w:val="bottom"/>
            <w:gridSpan w:val="1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5"/>
          </w:tcPr>
          <w:p>
            <w:pPr>
              <w:jc w:val="right"/>
              <w:ind w:right="120"/>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11"/>
          </w:tcPr>
          <w:p>
            <w:pPr>
              <w:jc w:val="right"/>
              <w:ind w:right="19"/>
              <w:spacing w:after="0" w:line="124" w:lineRule="exact"/>
              <w:rPr>
                <w:sz w:val="20"/>
                <w:szCs w:val="20"/>
                <w:color w:val="auto"/>
              </w:rPr>
            </w:pPr>
            <w:r>
              <w:rPr>
                <w:rFonts w:ascii="Times New Roman" w:cs="Times New Roman" w:eastAsia="Times New Roman" w:hAnsi="Times New Roman"/>
                <w:sz w:val="11"/>
                <w:szCs w:val="11"/>
                <w:b w:val="1"/>
                <w:bCs w:val="1"/>
                <w:color w:val="auto"/>
              </w:rPr>
              <w:t>Common Stock Subject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19"/>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5"/>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11"/>
          </w:tcPr>
          <w:p>
            <w:pPr>
              <w:jc w:val="right"/>
              <w:ind w:right="39"/>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7"/>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8"/>
            <w:vMerge w:val="restart"/>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7"/>
          </w:tcPr>
          <w:p>
            <w:pPr>
              <w:jc w:val="center"/>
              <w:ind w:right="153"/>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Shareholder</w:t>
            </w:r>
          </w:p>
        </w:tc>
        <w:tc>
          <w:tcPr>
            <w:tcW w:w="40" w:type="dxa"/>
            <w:vAlign w:val="bottom"/>
          </w:tcPr>
          <w:p>
            <w:pPr>
              <w:spacing w:after="0"/>
              <w:rPr>
                <w:sz w:val="8"/>
                <w:szCs w:val="8"/>
                <w:color w:val="auto"/>
              </w:rPr>
            </w:pPr>
          </w:p>
        </w:tc>
        <w:tc>
          <w:tcPr>
            <w:tcW w:w="580" w:type="dxa"/>
            <w:vAlign w:val="bottom"/>
            <w:gridSpan w:val="6"/>
          </w:tcPr>
          <w:p>
            <w:pPr>
              <w:jc w:val="right"/>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6"/>
              </w:rPr>
              <w:t>Accumula</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gridSpan w:val="8"/>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7"/>
          </w:tcPr>
          <w:p>
            <w:pPr>
              <w:jc w:val="center"/>
              <w:ind w:left="2"/>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5"/>
          </w:tcPr>
          <w:p>
            <w:pPr>
              <w:jc w:val="center"/>
              <w:ind w:left="1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Note</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4"/>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7"/>
          </w:tcPr>
          <w:p>
            <w:pPr>
              <w:jc w:val="right"/>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8"/>
              </w:rPr>
              <w:t>Total Stockholders</w:t>
            </w:r>
          </w:p>
        </w:tc>
        <w:tc>
          <w:tcPr>
            <w:tcW w:w="0" w:type="dxa"/>
            <w:vAlign w:val="bottom"/>
          </w:tcPr>
          <w:p>
            <w:pPr>
              <w:spacing w:after="0"/>
              <w:rPr>
                <w:sz w:val="1"/>
                <w:szCs w:val="1"/>
                <w:color w:val="auto"/>
              </w:rPr>
            </w:pPr>
          </w:p>
        </w:tc>
      </w:tr>
      <w:tr>
        <w:trPr>
          <w:trHeight w:val="99"/>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3480" w:type="dxa"/>
            <w:vAlign w:val="bottom"/>
            <w:gridSpan w:val="28"/>
          </w:tcPr>
          <w:p>
            <w:pPr>
              <w:spacing w:after="0"/>
              <w:rPr>
                <w:sz w:val="20"/>
                <w:szCs w:val="20"/>
                <w:color w:val="auto"/>
              </w:rPr>
            </w:pPr>
            <w:r>
              <w:rPr>
                <w:rFonts w:ascii="Times New Roman" w:cs="Times New Roman" w:eastAsia="Times New Roman" w:hAnsi="Times New Roman"/>
                <w:sz w:val="11"/>
                <w:szCs w:val="11"/>
                <w:b w:val="1"/>
                <w:bCs w:val="1"/>
                <w:color w:val="auto"/>
              </w:rPr>
              <w:t>Amou</w:t>
            </w:r>
          </w:p>
        </w:tc>
        <w:tc>
          <w:tcPr>
            <w:tcW w:w="1060" w:type="dxa"/>
            <w:vAlign w:val="bottom"/>
            <w:gridSpan w:val="12"/>
          </w:tcPr>
          <w:p>
            <w:pPr>
              <w:jc w:val="right"/>
              <w:ind w:right="742"/>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600" w:type="dxa"/>
            <w:vAlign w:val="bottom"/>
            <w:gridSpan w:val="8"/>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3640" w:type="dxa"/>
            <w:vAlign w:val="bottom"/>
            <w:gridSpan w:val="34"/>
          </w:tcPr>
          <w:p>
            <w:pPr>
              <w:jc w:val="center"/>
              <w:ind w:right="32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0" w:type="dxa"/>
            <w:vAlign w:val="bottom"/>
          </w:tcPr>
          <w:p>
            <w:pPr>
              <w:spacing w:after="0"/>
              <w:rPr>
                <w:sz w:val="1"/>
                <w:szCs w:val="1"/>
                <w:color w:val="auto"/>
              </w:rPr>
            </w:pPr>
          </w:p>
        </w:tc>
      </w:tr>
      <w:tr>
        <w:trPr>
          <w:trHeight w:val="88"/>
        </w:trPr>
        <w:tc>
          <w:tcPr>
            <w:tcW w:w="2460" w:type="dxa"/>
            <w:vAlign w:val="bottom"/>
            <w:gridSpan w:val="2"/>
            <w:vMerge w:val="continue"/>
          </w:tcPr>
          <w:p>
            <w:pPr>
              <w:spacing w:after="0"/>
              <w:rPr>
                <w:sz w:val="7"/>
                <w:szCs w:val="7"/>
                <w:color w:val="auto"/>
              </w:rPr>
            </w:pPr>
          </w:p>
        </w:tc>
        <w:tc>
          <w:tcPr>
            <w:tcW w:w="4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220" w:type="dxa"/>
            <w:vAlign w:val="bottom"/>
            <w:gridSpan w:val="2"/>
            <w:vMerge w:val="restart"/>
          </w:tcPr>
          <w:p>
            <w:pPr>
              <w:spacing w:after="0"/>
              <w:rPr>
                <w:sz w:val="7"/>
                <w:szCs w:val="7"/>
                <w:color w:val="auto"/>
              </w:rPr>
            </w:pPr>
          </w:p>
        </w:tc>
        <w:tc>
          <w:tcPr>
            <w:tcW w:w="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4"/>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vMerge w:val="restart"/>
          </w:tcPr>
          <w:p>
            <w:pPr>
              <w:spacing w:after="0"/>
              <w:rPr>
                <w:sz w:val="7"/>
                <w:szCs w:val="7"/>
                <w:color w:val="auto"/>
              </w:rPr>
            </w:pPr>
          </w:p>
        </w:tc>
        <w:tc>
          <w:tcPr>
            <w:tcW w:w="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unt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1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340" w:type="dxa"/>
            <w:vAlign w:val="bottom"/>
            <w:tcBorders>
              <w:bottom w:val="single" w:sz="8" w:color="auto"/>
            </w:tcBorders>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3"/>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4"/>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80" w:type="dxa"/>
            <w:vAlign w:val="bottom"/>
            <w:tcBorders>
              <w:bottom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bottom w:val="single" w:sz="8" w:color="auto"/>
            </w:tcBorders>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6"/>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gridSpan w:val="6"/>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4320" w:type="dxa"/>
            <w:vAlign w:val="bottom"/>
            <w:gridSpan w:val="16"/>
            <w:shd w:val="clear" w:color="auto" w:fill="CFF0FC"/>
          </w:tcPr>
          <w:p>
            <w:pPr>
              <w:jc w:val="right"/>
              <w:ind w:right="4320"/>
              <w:spacing w:after="0"/>
              <w:rPr>
                <w:sz w:val="20"/>
                <w:szCs w:val="20"/>
                <w:color w:val="auto"/>
              </w:rPr>
            </w:pPr>
            <w:r>
              <w:rPr>
                <w:rFonts w:ascii="Times New Roman" w:cs="Times New Roman" w:eastAsia="Times New Roman" w:hAnsi="Times New Roman"/>
                <w:sz w:val="13"/>
                <w:szCs w:val="13"/>
                <w:b w:val="1"/>
                <w:bCs w:val="1"/>
                <w:color w:val="auto"/>
              </w:rPr>
              <w:t>2,854,2</w:t>
            </w:r>
          </w:p>
        </w:tc>
        <w:tc>
          <w:tcPr>
            <w:tcW w:w="940" w:type="dxa"/>
            <w:vAlign w:val="bottom"/>
            <w:gridSpan w:val="9"/>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3"/>
                <w:szCs w:val="13"/>
                <w:b w:val="1"/>
                <w:bCs w:val="1"/>
                <w:color w:val="auto"/>
              </w:rPr>
              <w:t>33,06</w:t>
            </w:r>
          </w:p>
        </w:tc>
        <w:tc>
          <w:tcPr>
            <w:tcW w:w="4180" w:type="dxa"/>
            <w:vAlign w:val="bottom"/>
            <w:gridSpan w:val="46"/>
            <w:shd w:val="clear" w:color="auto" w:fill="CFF0FC"/>
          </w:tcPr>
          <w:p>
            <w:pPr>
              <w:jc w:val="right"/>
              <w:ind w:right="3666"/>
              <w:spacing w:after="0" w:line="126" w:lineRule="exact"/>
              <w:rPr>
                <w:sz w:val="20"/>
                <w:szCs w:val="20"/>
                <w:color w:val="auto"/>
              </w:rPr>
            </w:pPr>
            <w:r>
              <w:rPr>
                <w:rFonts w:ascii="Times New Roman" w:cs="Times New Roman" w:eastAsia="Times New Roman" w:hAnsi="Times New Roman"/>
                <w:sz w:val="13"/>
                <w:szCs w:val="13"/>
                <w:b w:val="1"/>
                <w:bCs w:val="1"/>
                <w:color w:val="auto"/>
              </w:rPr>
              <w:t>98,818,</w:t>
            </w:r>
          </w:p>
        </w:tc>
        <w:tc>
          <w:tcPr>
            <w:tcW w:w="1800" w:type="dxa"/>
            <w:vAlign w:val="bottom"/>
            <w:gridSpan w:val="13"/>
            <w:shd w:val="clear" w:color="auto" w:fill="CFF0FC"/>
          </w:tcPr>
          <w:p>
            <w:pPr>
              <w:jc w:val="right"/>
              <w:ind w:right="1420"/>
              <w:spacing w:after="0" w:line="126" w:lineRule="exact"/>
              <w:rPr>
                <w:sz w:val="20"/>
                <w:szCs w:val="20"/>
                <w:color w:val="auto"/>
              </w:rPr>
            </w:pPr>
            <w:r>
              <w:rPr>
                <w:rFonts w:ascii="Times New Roman" w:cs="Times New Roman" w:eastAsia="Times New Roman" w:hAnsi="Times New Roman"/>
                <w:sz w:val="13"/>
                <w:szCs w:val="13"/>
                <w:b w:val="1"/>
                <w:bCs w:val="1"/>
                <w:color w:val="auto"/>
              </w:rPr>
              <w:t>(577,0</w:t>
            </w:r>
          </w:p>
        </w:tc>
        <w:tc>
          <w:tcPr>
            <w:tcW w:w="0" w:type="dxa"/>
            <w:vAlign w:val="bottom"/>
          </w:tcPr>
          <w:p>
            <w:pPr>
              <w:spacing w:after="0"/>
              <w:rPr>
                <w:sz w:val="1"/>
                <w:szCs w:val="1"/>
                <w:color w:val="auto"/>
              </w:rPr>
            </w:pPr>
          </w:p>
        </w:tc>
      </w:tr>
      <w:tr>
        <w:trPr>
          <w:trHeight w:val="165"/>
        </w:trPr>
        <w:tc>
          <w:tcPr>
            <w:tcW w:w="24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20" w:type="dxa"/>
            <w:vAlign w:val="bottom"/>
            <w:shd w:val="clear" w:color="auto" w:fill="CFF0FC"/>
          </w:tcPr>
          <w:p>
            <w:pPr>
              <w:spacing w:after="0"/>
              <w:rPr>
                <w:sz w:val="14"/>
                <w:szCs w:val="14"/>
                <w:color w:val="auto"/>
              </w:rPr>
            </w:pPr>
          </w:p>
        </w:tc>
        <w:tc>
          <w:tcPr>
            <w:tcW w:w="6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874</w:t>
            </w:r>
          </w:p>
        </w:tc>
        <w:tc>
          <w:tcPr>
            <w:tcW w:w="200" w:type="dxa"/>
            <w:vAlign w:val="bottom"/>
            <w:shd w:val="clear" w:color="auto" w:fill="CFF0FC"/>
          </w:tcPr>
          <w:p>
            <w:pPr>
              <w:spacing w:after="0"/>
              <w:rPr>
                <w:sz w:val="14"/>
                <w:szCs w:val="14"/>
                <w:color w:val="auto"/>
              </w:rPr>
            </w:pP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$ 10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gridSpan w:val="4"/>
            <w:shd w:val="clear" w:color="auto" w:fill="CFF0FC"/>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8"/>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602,266</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40" w:type="dxa"/>
            <w:vAlign w:val="bottom"/>
            <w:gridSpan w:val="4"/>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(8,554)</w:t>
            </w:r>
          </w:p>
        </w:tc>
        <w:tc>
          <w:tcPr>
            <w:tcW w:w="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FF0FC"/>
          </w:tcPr>
          <w:p>
            <w:pPr>
              <w:spacing w:after="0"/>
              <w:rPr>
                <w:sz w:val="14"/>
                <w:szCs w:val="14"/>
                <w:color w:val="auto"/>
              </w:rPr>
            </w:pPr>
          </w:p>
        </w:tc>
        <w:tc>
          <w:tcPr>
            <w:tcW w:w="4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16,710</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Issuance of common stock to advisors</w:t>
            </w:r>
          </w:p>
        </w:tc>
        <w:tc>
          <w:tcPr>
            <w:tcW w:w="8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6"/>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5"/>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9,306</w:t>
            </w:r>
          </w:p>
        </w:tc>
        <w:tc>
          <w:tcPr>
            <w:tcW w:w="500" w:type="dxa"/>
            <w:vAlign w:val="bottom"/>
            <w:gridSpan w:val="6"/>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Increase in redemption value</w:t>
            </w:r>
          </w:p>
        </w:tc>
        <w:tc>
          <w:tcPr>
            <w:tcW w:w="82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5"/>
            <w:shd w:val="clear" w:color="auto" w:fill="CFF0FC"/>
          </w:tcPr>
          <w:p>
            <w:pPr>
              <w:jc w:val="right"/>
              <w:ind w:right="38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9"/>
            <w:shd w:val="clear" w:color="auto" w:fill="CFF0FC"/>
          </w:tcPr>
          <w:p>
            <w:pPr>
              <w:jc w:val="right"/>
              <w:ind w:right="419"/>
              <w:spacing w:after="0"/>
              <w:rPr>
                <w:sz w:val="20"/>
                <w:szCs w:val="20"/>
                <w:color w:val="auto"/>
              </w:rPr>
            </w:pPr>
            <w:r>
              <w:rPr>
                <w:rFonts w:ascii="Times New Roman" w:cs="Times New Roman" w:eastAsia="Times New Roman" w:hAnsi="Times New Roman"/>
                <w:sz w:val="13"/>
                <w:szCs w:val="13"/>
                <w:color w:val="auto"/>
              </w:rPr>
              <w:t>603</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7"/>
            <w:shd w:val="clear" w:color="auto" w:fill="CFF0FC"/>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shd w:val="clear" w:color="auto" w:fill="CFF0FC"/>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800" w:type="dxa"/>
            <w:vAlign w:val="bottom"/>
            <w:gridSpan w:val="12"/>
          </w:tcPr>
          <w:p>
            <w:pPr>
              <w:ind w:left="60"/>
              <w:spacing w:after="0" w:line="136" w:lineRule="exact"/>
              <w:rPr>
                <w:sz w:val="20"/>
                <w:szCs w:val="20"/>
                <w:color w:val="auto"/>
              </w:rPr>
            </w:pPr>
            <w:r>
              <w:rPr>
                <w:rFonts w:ascii="Times New Roman" w:cs="Times New Roman" w:eastAsia="Times New Roman" w:hAnsi="Times New Roman"/>
                <w:sz w:val="13"/>
                <w:szCs w:val="13"/>
                <w:color w:val="auto"/>
              </w:rPr>
              <w:t>Redemption of common stock subject</w:t>
            </w:r>
          </w:p>
        </w:tc>
        <w:tc>
          <w:tcPr>
            <w:tcW w:w="520" w:type="dxa"/>
            <w:vAlign w:val="bottom"/>
            <w:gridSpan w:val="4"/>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(2,800,</w:t>
            </w:r>
          </w:p>
        </w:tc>
        <w:tc>
          <w:tcPr>
            <w:tcW w:w="6920" w:type="dxa"/>
            <w:vAlign w:val="bottom"/>
            <w:gridSpan w:val="68"/>
          </w:tcPr>
          <w:p>
            <w:pPr>
              <w:jc w:val="right"/>
              <w:ind w:right="6300"/>
              <w:spacing w:after="0" w:line="136" w:lineRule="exact"/>
              <w:rPr>
                <w:sz w:val="20"/>
                <w:szCs w:val="20"/>
                <w:color w:val="auto"/>
              </w:rPr>
            </w:pPr>
            <w:r>
              <w:rPr>
                <w:rFonts w:ascii="Times New Roman" w:cs="Times New Roman" w:eastAsia="Times New Roman" w:hAnsi="Times New Roman"/>
                <w:sz w:val="13"/>
                <w:szCs w:val="13"/>
                <w:color w:val="auto"/>
              </w:rPr>
              <w:t>(33,15</w:t>
            </w:r>
          </w:p>
        </w:tc>
        <w:tc>
          <w:tcPr>
            <w:tcW w:w="0" w:type="dxa"/>
            <w:vAlign w:val="bottom"/>
          </w:tcPr>
          <w:p>
            <w:pPr>
              <w:spacing w:after="0"/>
              <w:rPr>
                <w:sz w:val="1"/>
                <w:szCs w:val="1"/>
                <w:color w:val="auto"/>
              </w:rPr>
            </w:pPr>
          </w:p>
        </w:tc>
      </w:tr>
      <w:tr>
        <w:trPr>
          <w:trHeight w:val="161"/>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 possible redemption</w:t>
            </w:r>
          </w:p>
        </w:tc>
        <w:tc>
          <w:tcPr>
            <w:tcW w:w="8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7"/>
          </w:tcPr>
          <w:p>
            <w:pPr>
              <w:jc w:val="right"/>
              <w:ind w:right="326"/>
              <w:spacing w:after="0"/>
              <w:rPr>
                <w:sz w:val="20"/>
                <w:szCs w:val="20"/>
                <w:color w:val="auto"/>
              </w:rPr>
            </w:pPr>
            <w:r>
              <w:rPr>
                <w:rFonts w:ascii="Times New Roman" w:cs="Times New Roman" w:eastAsia="Times New Roman" w:hAnsi="Times New Roman"/>
                <w:sz w:val="13"/>
                <w:szCs w:val="13"/>
                <w:color w:val="auto"/>
              </w:rPr>
              <w:t>489)</w:t>
            </w:r>
          </w:p>
        </w:tc>
        <w:tc>
          <w:tcPr>
            <w:tcW w:w="740" w:type="dxa"/>
            <w:vAlign w:val="bottom"/>
            <w:gridSpan w:val="9"/>
          </w:tcPr>
          <w:p>
            <w:pPr>
              <w:jc w:val="right"/>
              <w:ind w:right="359"/>
              <w:spacing w:after="0"/>
              <w:rPr>
                <w:sz w:val="20"/>
                <w:szCs w:val="20"/>
                <w:color w:val="auto"/>
              </w:rPr>
            </w:pPr>
            <w:r>
              <w:rPr>
                <w:rFonts w:ascii="Times New Roman" w:cs="Times New Roman" w:eastAsia="Times New Roman" w:hAnsi="Times New Roman"/>
                <w:sz w:val="13"/>
                <w:szCs w:val="13"/>
                <w:color w:val="auto"/>
              </w:rPr>
              <w:t>7)</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Lapse of redemption</w:t>
            </w:r>
          </w:p>
        </w:tc>
        <w:tc>
          <w:tcPr>
            <w:tcW w:w="82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7"/>
            <w:shd w:val="clear" w:color="auto" w:fill="CFF0FC"/>
          </w:tcPr>
          <w:p>
            <w:pPr>
              <w:jc w:val="right"/>
              <w:ind w:right="326"/>
              <w:spacing w:after="0"/>
              <w:rPr>
                <w:sz w:val="20"/>
                <w:szCs w:val="20"/>
                <w:color w:val="auto"/>
              </w:rPr>
            </w:pPr>
            <w:r>
              <w:rPr>
                <w:rFonts w:ascii="Times New Roman" w:cs="Times New Roman" w:eastAsia="Times New Roman" w:hAnsi="Times New Roman"/>
                <w:sz w:val="13"/>
                <w:szCs w:val="13"/>
                <w:color w:val="auto"/>
              </w:rPr>
              <w:t>(53,753)</w:t>
            </w:r>
          </w:p>
        </w:tc>
        <w:tc>
          <w:tcPr>
            <w:tcW w:w="580" w:type="dxa"/>
            <w:vAlign w:val="bottom"/>
            <w:gridSpan w:val="6"/>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rPr>
              <w:t>(507)</w:t>
            </w:r>
          </w:p>
        </w:tc>
        <w:tc>
          <w:tcPr>
            <w:tcW w:w="680" w:type="dxa"/>
            <w:vAlign w:val="bottom"/>
            <w:gridSpan w:val="5"/>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53,753</w:t>
            </w:r>
          </w:p>
        </w:tc>
        <w:tc>
          <w:tcPr>
            <w:tcW w:w="500" w:type="dxa"/>
            <w:vAlign w:val="bottom"/>
            <w:gridSpan w:val="6"/>
            <w:shd w:val="clear" w:color="auto" w:fill="CFF0FC"/>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9"/>
            <w:shd w:val="clear" w:color="auto" w:fill="CFF0FC"/>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4"/>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503</w:t>
            </w:r>
          </w:p>
        </w:tc>
        <w:tc>
          <w:tcPr>
            <w:tcW w:w="740" w:type="dxa"/>
            <w:vAlign w:val="bottom"/>
            <w:gridSpan w:val="7"/>
            <w:shd w:val="clear" w:color="auto" w:fill="CFF0FC"/>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shd w:val="clear" w:color="auto" w:fill="CFF0FC"/>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48"/>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6"/>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8"/>
          </w:tcPr>
          <w:p>
            <w:pPr>
              <w:jc w:val="right"/>
              <w:ind w:right="419"/>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9"/>
          </w:tcPr>
          <w:p>
            <w:pPr>
              <w:jc w:val="right"/>
              <w:ind w:right="373"/>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14"/>
          </w:tcPr>
          <w:p>
            <w:pPr>
              <w:jc w:val="right"/>
              <w:ind w:right="739"/>
              <w:spacing w:after="0"/>
              <w:rPr>
                <w:sz w:val="20"/>
                <w:szCs w:val="20"/>
                <w:color w:val="auto"/>
              </w:rPr>
            </w:pPr>
            <w:r>
              <w:rPr>
                <w:rFonts w:ascii="Times New Roman" w:cs="Times New Roman" w:eastAsia="Times New Roman" w:hAnsi="Times New Roman"/>
                <w:sz w:val="13"/>
                <w:szCs w:val="13"/>
                <w:color w:val="auto"/>
              </w:rPr>
              <w:t>7,566</w:t>
            </w:r>
          </w:p>
        </w:tc>
        <w:tc>
          <w:tcPr>
            <w:tcW w:w="74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8"/>
          </w:tcPr>
          <w:p>
            <w:pPr>
              <w:jc w:val="right"/>
              <w:ind w:right="5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7,566</w:t>
            </w:r>
          </w:p>
        </w:tc>
        <w:tc>
          <w:tcPr>
            <w:tcW w:w="0" w:type="dxa"/>
            <w:vAlign w:val="bottom"/>
          </w:tcPr>
          <w:p>
            <w:pPr>
              <w:spacing w:after="0"/>
              <w:rPr>
                <w:sz w:val="1"/>
                <w:szCs w:val="1"/>
                <w:color w:val="auto"/>
              </w:rPr>
            </w:pPr>
          </w:p>
        </w:tc>
      </w:tr>
      <w:tr>
        <w:trPr>
          <w:trHeight w:val="136"/>
        </w:trPr>
        <w:tc>
          <w:tcPr>
            <w:tcW w:w="11240" w:type="dxa"/>
            <w:vAlign w:val="bottom"/>
            <w:gridSpan w:val="84"/>
            <w:shd w:val="clear" w:color="auto" w:fill="CFF0FC"/>
          </w:tcPr>
          <w:p>
            <w:pPr>
              <w:jc w:val="right"/>
              <w:ind w:right="11240"/>
              <w:spacing w:after="0"/>
              <w:rPr>
                <w:sz w:val="20"/>
                <w:szCs w:val="20"/>
                <w:color w:val="auto"/>
              </w:rPr>
            </w:pPr>
            <w:r>
              <w:rPr>
                <w:rFonts w:ascii="Times New Roman" w:cs="Times New Roman" w:eastAsia="Times New Roman" w:hAnsi="Times New Roman"/>
                <w:sz w:val="13"/>
                <w:szCs w:val="13"/>
                <w:color w:val="auto"/>
              </w:rPr>
              <w:t>(29,58</w:t>
            </w:r>
          </w:p>
        </w:tc>
        <w:tc>
          <w:tcPr>
            <w:tcW w:w="0" w:type="dxa"/>
            <w:vAlign w:val="bottom"/>
          </w:tcPr>
          <w:p>
            <w:pPr>
              <w:spacing w:after="0"/>
              <w:rPr>
                <w:sz w:val="1"/>
                <w:szCs w:val="1"/>
                <w:color w:val="auto"/>
              </w:rPr>
            </w:pPr>
          </w:p>
        </w:tc>
      </w:tr>
      <w:tr>
        <w:trPr>
          <w:trHeight w:val="161"/>
        </w:trPr>
        <w:tc>
          <w:tcPr>
            <w:tcW w:w="24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6"/>
            <w:shd w:val="clear" w:color="auto" w:fill="CFF0FC"/>
          </w:tcPr>
          <w:p>
            <w:pPr>
              <w:jc w:val="right"/>
              <w:ind w:right="43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8"/>
            <w:shd w:val="clear" w:color="auto" w:fill="CFF0FC"/>
          </w:tcPr>
          <w:p>
            <w:pPr>
              <w:jc w:val="right"/>
              <w:ind w:right="419"/>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6"/>
            <w:shd w:val="clear" w:color="auto" w:fill="CFF0FC"/>
          </w:tcPr>
          <w:p>
            <w:pPr>
              <w:jc w:val="right"/>
              <w:ind w:right="18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7"/>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11"/>
            <w:shd w:val="clear" w:color="auto" w:fill="CFF0FC"/>
          </w:tcPr>
          <w:p>
            <w:pPr>
              <w:jc w:val="right"/>
              <w:ind w:right="593"/>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2"/>
            <w:shd w:val="clear" w:color="auto" w:fill="CFF0FC"/>
          </w:tcPr>
          <w:p>
            <w:pPr>
              <w:jc w:val="right"/>
              <w:ind w:right="739"/>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5"/>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10"/>
            <w:shd w:val="clear" w:color="auto" w:fill="CFF0FC"/>
          </w:tcPr>
          <w:p>
            <w:pPr>
              <w:jc w:val="right"/>
              <w:ind w:right="465"/>
              <w:spacing w:after="0"/>
              <w:rPr>
                <w:sz w:val="20"/>
                <w:szCs w:val="20"/>
                <w:color w:val="auto"/>
              </w:rPr>
            </w:pPr>
            <w:r>
              <w:rPr>
                <w:rFonts w:ascii="Times New Roman" w:cs="Times New Roman" w:eastAsia="Times New Roman" w:hAnsi="Times New Roman"/>
                <w:sz w:val="13"/>
                <w:szCs w:val="13"/>
                <w:color w:val="auto"/>
              </w:rPr>
              <w:t>9)</w:t>
            </w:r>
          </w:p>
        </w:tc>
        <w:tc>
          <w:tcPr>
            <w:tcW w:w="8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(29,589)</w:t>
            </w:r>
          </w:p>
        </w:tc>
        <w:tc>
          <w:tcPr>
            <w:tcW w:w="0" w:type="dxa"/>
            <w:vAlign w:val="bottom"/>
          </w:tcPr>
          <w:p>
            <w:pPr>
              <w:spacing w:after="0"/>
              <w:rPr>
                <w:sz w:val="1"/>
                <w:szCs w:val="1"/>
                <w:color w:val="auto"/>
              </w:rPr>
            </w:pPr>
          </w:p>
        </w:tc>
      </w:tr>
      <w:tr>
        <w:trPr>
          <w:trHeight w:val="125"/>
        </w:trPr>
        <w:tc>
          <w:tcPr>
            <w:tcW w:w="236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gridSpan w:val="3"/>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340" w:type="dxa"/>
            <w:vAlign w:val="bottom"/>
            <w:tcBorders>
              <w:top w:val="single" w:sz="8" w:color="auto"/>
            </w:tcBorders>
            <w:gridSpan w:val="4"/>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gridSpan w:val="4"/>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480" w:type="dxa"/>
            <w:vAlign w:val="bottom"/>
            <w:tcBorders>
              <w:top w:val="single" w:sz="8" w:color="auto"/>
            </w:tcBorders>
            <w:gridSpan w:val="5"/>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580" w:type="dxa"/>
            <w:vAlign w:val="bottom"/>
            <w:tcBorders>
              <w:top w:val="single" w:sz="8" w:color="auto"/>
            </w:tcBorders>
            <w:gridSpan w:val="5"/>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98,881,</w:t>
            </w:r>
          </w:p>
        </w:tc>
        <w:tc>
          <w:tcPr>
            <w:tcW w:w="2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gridSpan w:val="3"/>
          </w:tcPr>
          <w:p>
            <w:pPr>
              <w:spacing w:after="0"/>
              <w:rPr>
                <w:sz w:val="10"/>
                <w:szCs w:val="10"/>
                <w:color w:val="auto"/>
              </w:rPr>
            </w:pPr>
          </w:p>
        </w:tc>
        <w:tc>
          <w:tcPr>
            <w:tcW w:w="220" w:type="dxa"/>
            <w:vAlign w:val="bottom"/>
            <w:tcBorders>
              <w:top w:val="single" w:sz="8" w:color="CFF0FC"/>
            </w:tcBorders>
            <w:gridSpan w:val="3"/>
          </w:tcPr>
          <w:p>
            <w:pPr>
              <w:spacing w:after="0"/>
              <w:rPr>
                <w:sz w:val="10"/>
                <w:szCs w:val="10"/>
                <w:color w:val="auto"/>
              </w:rPr>
            </w:pPr>
          </w:p>
        </w:tc>
        <w:tc>
          <w:tcPr>
            <w:tcW w:w="340" w:type="dxa"/>
            <w:vAlign w:val="bottom"/>
            <w:tcBorders>
              <w:top w:val="single" w:sz="8" w:color="auto"/>
            </w:tcBorders>
            <w:gridSpan w:val="3"/>
          </w:tcPr>
          <w:p>
            <w:pPr>
              <w:spacing w:after="0"/>
              <w:rPr>
                <w:sz w:val="10"/>
                <w:szCs w:val="10"/>
                <w:color w:val="auto"/>
              </w:rPr>
            </w:pPr>
          </w:p>
        </w:tc>
        <w:tc>
          <w:tcPr>
            <w:tcW w:w="220" w:type="dxa"/>
            <w:vAlign w:val="bottom"/>
            <w:tcBorders>
              <w:top w:val="single" w:sz="8" w:color="CFF0FC"/>
            </w:tcBorders>
            <w:gridSpan w:val="3"/>
          </w:tcPr>
          <w:p>
            <w:pPr>
              <w:spacing w:after="0"/>
              <w:rPr>
                <w:sz w:val="10"/>
                <w:szCs w:val="10"/>
                <w:color w:val="auto"/>
              </w:rPr>
            </w:pPr>
          </w:p>
        </w:tc>
        <w:tc>
          <w:tcPr>
            <w:tcW w:w="320" w:type="dxa"/>
            <w:vAlign w:val="bottom"/>
            <w:tcBorders>
              <w:top w:val="single" w:sz="8" w:color="auto"/>
            </w:tcBorders>
            <w:gridSpan w:val="3"/>
          </w:tcPr>
          <w:p>
            <w:pPr>
              <w:spacing w:after="0"/>
              <w:rPr>
                <w:sz w:val="10"/>
                <w:szCs w:val="10"/>
                <w:color w:val="auto"/>
              </w:rPr>
            </w:pPr>
          </w:p>
        </w:tc>
        <w:tc>
          <w:tcPr>
            <w:tcW w:w="200" w:type="dxa"/>
            <w:vAlign w:val="bottom"/>
            <w:tcBorders>
              <w:top w:val="single" w:sz="8" w:color="CFF0FC"/>
            </w:tcBorders>
            <w:gridSpan w:val="4"/>
          </w:tcPr>
          <w:p>
            <w:pPr>
              <w:spacing w:after="0"/>
              <w:rPr>
                <w:sz w:val="10"/>
                <w:szCs w:val="10"/>
                <w:color w:val="auto"/>
              </w:rPr>
            </w:pPr>
          </w:p>
        </w:tc>
        <w:tc>
          <w:tcPr>
            <w:tcW w:w="620" w:type="dxa"/>
            <w:vAlign w:val="bottom"/>
            <w:tcBorders>
              <w:top w:val="single" w:sz="8" w:color="auto"/>
            </w:tcBorders>
            <w:gridSpan w:val="9"/>
          </w:tcPr>
          <w:p>
            <w:pPr>
              <w:spacing w:after="0"/>
              <w:rPr>
                <w:sz w:val="10"/>
                <w:szCs w:val="10"/>
                <w:color w:val="auto"/>
              </w:rPr>
            </w:pPr>
          </w:p>
        </w:tc>
        <w:tc>
          <w:tcPr>
            <w:tcW w:w="220" w:type="dxa"/>
            <w:vAlign w:val="bottom"/>
            <w:tcBorders>
              <w:top w:val="single" w:sz="8" w:color="CFF0FC"/>
            </w:tcBorders>
            <w:gridSpan w:val="3"/>
          </w:tcPr>
          <w:p>
            <w:pPr>
              <w:spacing w:after="0"/>
              <w:rPr>
                <w:sz w:val="10"/>
                <w:szCs w:val="10"/>
                <w:color w:val="auto"/>
              </w:rPr>
            </w:pPr>
          </w:p>
        </w:tc>
        <w:tc>
          <w:tcPr>
            <w:tcW w:w="740" w:type="dxa"/>
            <w:vAlign w:val="bottom"/>
            <w:tcBorders>
              <w:top w:val="single" w:sz="8" w:color="auto"/>
            </w:tcBorders>
            <w:gridSpan w:val="6"/>
          </w:tcPr>
          <w:p>
            <w:pPr>
              <w:spacing w:after="0"/>
              <w:rPr>
                <w:sz w:val="10"/>
                <w:szCs w:val="10"/>
                <w:color w:val="auto"/>
              </w:rPr>
            </w:pPr>
          </w:p>
        </w:tc>
        <w:tc>
          <w:tcPr>
            <w:tcW w:w="220" w:type="dxa"/>
            <w:vAlign w:val="bottom"/>
            <w:tcBorders>
              <w:top w:val="single" w:sz="8" w:color="CFF0FC"/>
            </w:tcBorders>
            <w:gridSpan w:val="2"/>
          </w:tcPr>
          <w:p>
            <w:pPr>
              <w:spacing w:after="0"/>
              <w:rPr>
                <w:sz w:val="10"/>
                <w:szCs w:val="10"/>
                <w:color w:val="auto"/>
              </w:rPr>
            </w:pPr>
          </w:p>
        </w:tc>
        <w:tc>
          <w:tcPr>
            <w:tcW w:w="520" w:type="dxa"/>
            <w:vAlign w:val="bottom"/>
            <w:tcBorders>
              <w:top w:val="single" w:sz="8" w:color="auto"/>
            </w:tcBorders>
            <w:gridSpan w:val="5"/>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(606,6</w:t>
            </w:r>
          </w:p>
        </w:tc>
        <w:tc>
          <w:tcPr>
            <w:tcW w:w="220" w:type="dxa"/>
            <w:vAlign w:val="bottom"/>
            <w:tcBorders>
              <w:top w:val="single" w:sz="8" w:color="CFF0FC"/>
            </w:tcBorders>
            <w:gridSpan w:val="2"/>
          </w:tcPr>
          <w:p>
            <w:pPr>
              <w:spacing w:after="0"/>
              <w:rPr>
                <w:sz w:val="10"/>
                <w:szCs w:val="10"/>
                <w:color w:val="auto"/>
              </w:rPr>
            </w:pPr>
          </w:p>
        </w:tc>
        <w:tc>
          <w:tcPr>
            <w:tcW w:w="1060" w:type="dxa"/>
            <w:vAlign w:val="bottom"/>
            <w:tcBorders>
              <w:top w:val="single" w:sz="8" w:color="auto"/>
            </w:tcBorders>
            <w:gridSpan w:val="6"/>
          </w:tcPr>
          <w:p>
            <w:pPr>
              <w:spacing w:after="0"/>
              <w:rPr>
                <w:sz w:val="10"/>
                <w:szCs w:val="10"/>
                <w:color w:val="auto"/>
              </w:rPr>
            </w:pPr>
          </w:p>
        </w:tc>
        <w:tc>
          <w:tcPr>
            <w:tcW w:w="120" w:type="dxa"/>
            <w:vAlign w:val="bottom"/>
            <w:tcBorders>
              <w:top w:val="single" w:sz="8" w:color="CFF0FC"/>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3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spacing w:after="0"/>
              <w:rPr>
                <w:sz w:val="14"/>
                <w:szCs w:val="14"/>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bottom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Pr>
          <w:p>
            <w:pPr>
              <w:spacing w:after="0"/>
              <w:rPr>
                <w:sz w:val="14"/>
                <w:szCs w:val="14"/>
                <w:color w:val="auto"/>
              </w:rPr>
            </w:pPr>
          </w:p>
        </w:tc>
        <w:tc>
          <w:tcPr>
            <w:tcW w:w="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spacing w:after="0"/>
              <w:rPr>
                <w:sz w:val="14"/>
                <w:szCs w:val="14"/>
                <w:color w:val="auto"/>
              </w:rPr>
            </w:pPr>
          </w:p>
        </w:tc>
        <w:tc>
          <w:tcPr>
            <w:tcW w:w="280" w:type="dxa"/>
            <w:vAlign w:val="bottom"/>
            <w:tcBorders>
              <w:bottom w:val="single" w:sz="8" w:color="auto"/>
            </w:tcBorders>
            <w:gridSpan w:val="3"/>
          </w:tcPr>
          <w:p>
            <w:pPr>
              <w:jc w:val="right"/>
              <w:ind w:right="133"/>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spacing w:after="0"/>
              <w:rPr>
                <w:sz w:val="14"/>
                <w:szCs w:val="14"/>
                <w:color w:val="auto"/>
              </w:rPr>
            </w:pPr>
          </w:p>
        </w:tc>
        <w:tc>
          <w:tcPr>
            <w:tcW w:w="580" w:type="dxa"/>
            <w:vAlign w:val="bottom"/>
            <w:tcBorders>
              <w:bottom w:val="single" w:sz="8" w:color="auto"/>
            </w:tcBorders>
            <w:gridSpan w:val="5"/>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933</w:t>
            </w:r>
          </w:p>
        </w:tc>
        <w:tc>
          <w:tcPr>
            <w:tcW w:w="200" w:type="dxa"/>
            <w:vAlign w:val="bottom"/>
          </w:tcPr>
          <w:p>
            <w:pPr>
              <w:spacing w:after="0"/>
              <w:rPr>
                <w:sz w:val="14"/>
                <w:szCs w:val="14"/>
                <w:color w:val="auto"/>
              </w:rPr>
            </w:pPr>
          </w:p>
        </w:tc>
        <w:tc>
          <w:tcPr>
            <w:tcW w:w="280" w:type="dxa"/>
            <w:vAlign w:val="bottom"/>
            <w:tcBorders>
              <w:bottom w:val="single" w:sz="8" w:color="auto"/>
            </w:tcBorders>
            <w:gridSpan w:val="3"/>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$ 10</w:t>
            </w:r>
          </w:p>
        </w:tc>
        <w:tc>
          <w:tcPr>
            <w:tcW w:w="220" w:type="dxa"/>
            <w:vAlign w:val="bottom"/>
            <w:gridSpan w:val="3"/>
          </w:tcPr>
          <w:p>
            <w:pPr>
              <w:spacing w:after="0"/>
              <w:rPr>
                <w:sz w:val="14"/>
                <w:szCs w:val="14"/>
                <w:color w:val="auto"/>
              </w:rPr>
            </w:pPr>
          </w:p>
        </w:tc>
        <w:tc>
          <w:tcPr>
            <w:tcW w:w="340" w:type="dxa"/>
            <w:vAlign w:val="bottom"/>
            <w:tcBorders>
              <w:bottom w:val="single" w:sz="8" w:color="auto"/>
            </w:tcBorders>
            <w:gridSpan w:val="3"/>
          </w:tcPr>
          <w:p>
            <w:pPr>
              <w:ind w:left="20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gridSpan w:val="3"/>
          </w:tcPr>
          <w:p>
            <w:pPr>
              <w:spacing w:after="0"/>
              <w:rPr>
                <w:sz w:val="14"/>
                <w:szCs w:val="14"/>
                <w:color w:val="auto"/>
              </w:rPr>
            </w:pPr>
          </w:p>
        </w:tc>
        <w:tc>
          <w:tcPr>
            <w:tcW w:w="8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4"/>
          </w:tcPr>
          <w:p>
            <w:pPr>
              <w:spacing w:after="0"/>
              <w:rPr>
                <w:sz w:val="14"/>
                <w:szCs w:val="14"/>
                <w:color w:val="auto"/>
              </w:rPr>
            </w:pPr>
          </w:p>
        </w:tc>
        <w:tc>
          <w:tcPr>
            <w:tcW w:w="80" w:type="dxa"/>
            <w:vAlign w:val="bottom"/>
            <w:tcBorders>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gridSpan w:val="8"/>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610,335</w:t>
            </w:r>
          </w:p>
        </w:tc>
        <w:tc>
          <w:tcPr>
            <w:tcW w:w="220" w:type="dxa"/>
            <w:vAlign w:val="bottom"/>
            <w:gridSpan w:val="3"/>
          </w:tcPr>
          <w:p>
            <w:pPr>
              <w:spacing w:after="0"/>
              <w:rPr>
                <w:sz w:val="14"/>
                <w:szCs w:val="14"/>
                <w:color w:val="auto"/>
              </w:rPr>
            </w:pPr>
          </w:p>
        </w:tc>
        <w:tc>
          <w:tcPr>
            <w:tcW w:w="3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89"/>
              </w:rPr>
              <w:t>(8,554)</w:t>
            </w:r>
          </w:p>
        </w:tc>
        <w:tc>
          <w:tcPr>
            <w:tcW w:w="220" w:type="dxa"/>
            <w:vAlign w:val="bottom"/>
            <w:gridSpan w:val="2"/>
          </w:tcPr>
          <w:p>
            <w:pPr>
              <w:spacing w:after="0"/>
              <w:rPr>
                <w:sz w:val="14"/>
                <w:szCs w:val="14"/>
                <w:color w:val="auto"/>
              </w:rPr>
            </w:pPr>
          </w:p>
        </w:tc>
        <w:tc>
          <w:tcPr>
            <w:tcW w:w="120" w:type="dxa"/>
            <w:vAlign w:val="bottom"/>
            <w:tcBorders>
              <w:bottom w:val="single" w:sz="8" w:color="auto"/>
            </w:tcBorders>
            <w:gridSpan w:val="2"/>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01)</w:t>
            </w:r>
          </w:p>
        </w:tc>
        <w:tc>
          <w:tcPr>
            <w:tcW w:w="220" w:type="dxa"/>
            <w:vAlign w:val="bottom"/>
            <w:gridSpan w:val="2"/>
          </w:tcPr>
          <w:p>
            <w:pPr>
              <w:spacing w:after="0"/>
              <w:rPr>
                <w:sz w:val="14"/>
                <w:szCs w:val="14"/>
                <w:color w:val="auto"/>
              </w:rPr>
            </w:pPr>
          </w:p>
        </w:tc>
        <w:tc>
          <w:tcPr>
            <w:tcW w:w="340" w:type="dxa"/>
            <w:vAlign w:val="bottom"/>
            <w:tcBorders>
              <w:bottom w:val="single" w:sz="8" w:color="auto"/>
            </w:tcBorders>
            <w:gridSpan w:val="5"/>
          </w:tcPr>
          <w:p>
            <w:pPr>
              <w:jc w:val="right"/>
              <w:ind w:right="2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(4,810)</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20" w:type="dxa"/>
            <w:vAlign w:val="bottom"/>
            <w:tcBorders>
              <w:bottom w:val="single" w:sz="8" w:color="auto"/>
            </w:tcBorders>
            <w:gridSpan w:val="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9"/>
        </w:trPr>
        <w:tc>
          <w:tcPr>
            <w:tcW w:w="11240" w:type="dxa"/>
            <w:vAlign w:val="bottom"/>
            <w:tcBorders>
              <w:bottom w:val="single" w:sz="8" w:color="9A9A9A"/>
            </w:tcBorders>
            <w:gridSpan w:val="8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-4739640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-4722495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-4739640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-4722495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-4739640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-4722495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-4739640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-4722495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-4739640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-4722495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-4739640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-4722495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-4739640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-4722495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-4739640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-4722495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-4739640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-4722495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-4739640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-4722495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-4739640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-4722495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-2794000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-2776855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-2794000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-2776855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-2794000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-2776855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-2794000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-2776855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-2794000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-2776855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-2794000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-2776855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-2794000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-2776855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-2794000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-2776855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-2794000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-2776855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-2794000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-2776855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-2794000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-2776855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-1148080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-1148080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-1148080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-1148080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-1148080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-1148080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-1148080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-1148080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-1148080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-1148080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-1148080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7"/>
        </w:trPr>
        <w:tc>
          <w:tcPr>
            <w:tcW w:w="2460" w:type="dxa"/>
            <w:vAlign w:val="bottom"/>
          </w:tcPr>
          <w:p>
            <w:pPr>
              <w:spacing w:after="0"/>
              <w:rPr>
                <w:sz w:val="11"/>
                <w:szCs w:val="11"/>
                <w:color w:val="auto"/>
              </w:rPr>
            </w:pPr>
          </w:p>
        </w:tc>
        <w:tc>
          <w:tcPr>
            <w:tcW w:w="1440" w:type="dxa"/>
            <w:vAlign w:val="bottom"/>
            <w:gridSpan w:val="6"/>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Redeemable Convertible</w:t>
            </w: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Stockholder's Deficit</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440" w:type="dxa"/>
            <w:vAlign w:val="bottom"/>
            <w:gridSpan w:val="6"/>
          </w:tcPr>
          <w:p>
            <w:pPr>
              <w:jc w:val="center"/>
              <w:ind w:right="260"/>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440" w:type="dxa"/>
            <w:vAlign w:val="bottom"/>
            <w:gridSpan w:val="5"/>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1060" w:type="dxa"/>
            <w:vAlign w:val="bottom"/>
            <w:gridSpan w:val="3"/>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Addition</w:t>
            </w:r>
          </w:p>
        </w:tc>
        <w:tc>
          <w:tcPr>
            <w:tcW w:w="64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Shareholder</w:t>
            </w:r>
          </w:p>
        </w:tc>
        <w:tc>
          <w:tcPr>
            <w:tcW w:w="200" w:type="dxa"/>
            <w:vAlign w:val="bottom"/>
          </w:tcPr>
          <w:p>
            <w:pPr>
              <w:spacing w:after="0"/>
              <w:rPr>
                <w:sz w:val="8"/>
                <w:szCs w:val="8"/>
                <w:color w:val="auto"/>
              </w:rPr>
            </w:pPr>
          </w:p>
        </w:tc>
        <w:tc>
          <w:tcPr>
            <w:tcW w:w="66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w:t>
            </w:r>
          </w:p>
        </w:tc>
        <w:tc>
          <w:tcPr>
            <w:tcW w:w="80" w:type="dxa"/>
            <w:vAlign w:val="bottom"/>
          </w:tcPr>
          <w:p>
            <w:pPr>
              <w:spacing w:after="0"/>
              <w:rPr>
                <w:sz w:val="8"/>
                <w:szCs w:val="8"/>
                <w:color w:val="auto"/>
              </w:rPr>
            </w:pPr>
          </w:p>
        </w:tc>
        <w:tc>
          <w:tcPr>
            <w:tcW w:w="720" w:type="dxa"/>
            <w:vAlign w:val="bottom"/>
          </w:tcPr>
          <w:p>
            <w:pPr>
              <w:jc w:val="center"/>
              <w:ind w:right="57"/>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1"/>
                <w:szCs w:val="11"/>
                <w:b w:val="1"/>
                <w:bCs w:val="1"/>
                <w:color w:val="auto"/>
                <w:w w:val="92"/>
              </w:rPr>
              <w:t>al</w:t>
            </w:r>
          </w:p>
        </w:tc>
        <w:tc>
          <w:tcPr>
            <w:tcW w:w="140" w:type="dxa"/>
            <w:vAlign w:val="bottom"/>
          </w:tcPr>
          <w:p>
            <w:pPr>
              <w:spacing w:after="0"/>
              <w:rPr>
                <w:sz w:val="10"/>
                <w:szCs w:val="10"/>
                <w:color w:val="auto"/>
              </w:rPr>
            </w:pPr>
          </w:p>
        </w:tc>
        <w:tc>
          <w:tcPr>
            <w:tcW w:w="500" w:type="dxa"/>
            <w:vAlign w:val="bottom"/>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301"/>
              <w:spacing w:after="0" w:line="124" w:lineRule="exact"/>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99"/>
        </w:trPr>
        <w:tc>
          <w:tcPr>
            <w:tcW w:w="24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Amoun</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3"/>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60" w:type="dxa"/>
            <w:vAlign w:val="bottom"/>
            <w:vMerge w:val="continue"/>
          </w:tcPr>
          <w:p>
            <w:pPr>
              <w:spacing w:after="0"/>
              <w:rPr>
                <w:sz w:val="7"/>
                <w:szCs w:val="7"/>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220" w:type="dxa"/>
            <w:vAlign w:val="bottom"/>
          </w:tcPr>
          <w:p>
            <w:pPr>
              <w:spacing w:after="0"/>
              <w:rPr>
                <w:sz w:val="7"/>
                <w:szCs w:val="7"/>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7"/>
                <w:szCs w:val="7"/>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200" w:type="dxa"/>
            <w:vAlign w:val="bottom"/>
          </w:tcPr>
          <w:p>
            <w:pPr>
              <w:spacing w:after="0"/>
              <w:rPr>
                <w:sz w:val="7"/>
                <w:szCs w:val="7"/>
                <w:color w:val="auto"/>
              </w:rPr>
            </w:pPr>
          </w:p>
        </w:tc>
        <w:tc>
          <w:tcPr>
            <w:tcW w:w="66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46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5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34,712,</w:t>
            </w: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141,8</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vMerge w:val="continue"/>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13,613,269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(242,966)</w:t>
            </w: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Retroactive application of</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recapitalization</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34,712,525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(96,887)</w:t>
            </w:r>
          </w:p>
        </w:tc>
        <w:tc>
          <w:tcPr>
            <w:tcW w:w="8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315,1</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(384,</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Adjusted balance - beginning of period</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48,325,794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(69,619)</w:t>
            </w:r>
          </w:p>
        </w:tc>
        <w:tc>
          <w:tcPr>
            <w:tcW w:w="0" w:type="dxa"/>
            <w:vAlign w:val="bottom"/>
          </w:tcPr>
          <w:p>
            <w:pPr>
              <w:spacing w:after="0"/>
              <w:rPr>
                <w:sz w:val="1"/>
                <w:szCs w:val="1"/>
                <w:color w:val="auto"/>
              </w:rPr>
            </w:pPr>
          </w:p>
        </w:tc>
      </w:tr>
      <w:tr>
        <w:trPr>
          <w:trHeight w:val="149"/>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(12,153)</w:t>
            </w:r>
          </w:p>
        </w:tc>
        <w:tc>
          <w:tcPr>
            <w:tcW w:w="0" w:type="dxa"/>
            <w:vAlign w:val="bottom"/>
          </w:tcPr>
          <w:p>
            <w:pPr>
              <w:spacing w:after="0"/>
              <w:rPr>
                <w:sz w:val="1"/>
                <w:szCs w:val="1"/>
                <w:color w:val="auto"/>
              </w:rPr>
            </w:pPr>
          </w:p>
        </w:tc>
      </w:tr>
      <w:tr>
        <w:trPr>
          <w:trHeight w:val="125"/>
        </w:trPr>
        <w:tc>
          <w:tcPr>
            <w:tcW w:w="246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315,5</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(396,</w:t>
            </w: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5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ind w:left="4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shd w:val="clear" w:color="auto" w:fill="CFF0FC"/>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48,346,231</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w:t>
            </w:r>
          </w:p>
        </w:tc>
        <w:tc>
          <w:tcPr>
            <w:tcW w:w="2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bottom w:val="single" w:sz="8" w:color="auto"/>
            </w:tcBorders>
            <w:shd w:val="clear" w:color="auto" w:fill="CFF0FC"/>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FF0FC"/>
          </w:tcPr>
          <w:p>
            <w:pPr>
              <w:ind w:left="34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952</w:t>
            </w:r>
          </w:p>
        </w:tc>
        <w:tc>
          <w:tcPr>
            <w:tcW w:w="20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FF0FC"/>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(81,384)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(177,350)</w:t>
            </w:r>
          </w:p>
        </w:tc>
        <w:tc>
          <w:tcPr>
            <w:tcW w:w="8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(28,896)</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unissued shares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earnout share liabilities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(109,261)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(1,255)</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 related party, net</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(1,841)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(1,947)</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(6,964)</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loss on purchase commitments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(1,889)</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(32,373)</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(21,626)</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(681)</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68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(681)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(81)</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 and PIPE financing, net of transaction costs</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(4,332)</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advances to related party</w:t>
            </w:r>
          </w:p>
        </w:tc>
        <w:tc>
          <w:tcPr>
            <w:tcW w:w="46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 term demand notes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(4,750)</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11,428</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105,858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(21,626)</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84,151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28,862</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87,364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Components of cash, cash equivalents and restricted cash:</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4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28,862</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87,364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non-cash disclosures: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acquired in accounts payable and accrued expenses and other current</w:t>
            </w: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4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Capitalized deferred offering costs included in accounts payable and accrued expenses and other</w:t>
            </w:r>
          </w:p>
        </w:tc>
        <w:tc>
          <w:tcPr>
            <w:tcW w:w="4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warrants with convertible notes</w:t>
            </w:r>
          </w:p>
        </w:tc>
        <w:tc>
          <w:tcPr>
            <w:tcW w:w="46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Conversion of convertible notes to common stock</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314,334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exercise of warrants for common stock</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warrants for professional services</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shareholder note receivable</w:t>
            </w:r>
          </w:p>
        </w:tc>
        <w:tc>
          <w:tcPr>
            <w:tcW w:w="4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Redemption of common shares with cash held in escrow</w:t>
            </w:r>
          </w:p>
        </w:tc>
        <w:tc>
          <w:tcPr>
            <w:tcW w:w="46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2"/>
        </w:trPr>
        <w:tc>
          <w:tcPr>
            <w:tcW w:w="6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-4731385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-3693795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-3162300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-3145155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-2613660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-2596515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 w:name="page10"/>
    <w:bookmarkEnd w:id="9"/>
    <w:p>
      <w:pPr>
        <w:ind w:right="1880" w:firstLine="2258"/>
        <w:spacing w:after="0" w:line="282" w:lineRule="auto"/>
        <w:rPr>
          <w:sz w:val="20"/>
          <w:szCs w:val="20"/>
          <w:color w:val="auto"/>
        </w:rPr>
      </w:pPr>
      <w:r>
        <w:rPr>
          <w:rFonts w:ascii="Times New Roman" w:cs="Times New Roman" w:eastAsia="Times New Roman" w:hAnsi="Times New Roman"/>
          <w:sz w:val="18"/>
          <w:szCs w:val="18"/>
          <w:color w:val="auto"/>
        </w:rPr>
        <w:t xml:space="preserve">The accompanying notes are an integral part of these condensed consolidated financial statements. </w:t>
      </w:r>
      <w:r>
        <w:rPr>
          <w:rFonts w:ascii="Times New Roman" w:cs="Times New Roman" w:eastAsia="Times New Roman" w:hAnsi="Times New Roman"/>
          <w:sz w:val="18"/>
          <w:szCs w:val="18"/>
          <w:b w:val="1"/>
          <w:bCs w:val="1"/>
          <w:color w:val="auto"/>
        </w:rPr>
        <w:t>Note 1. Organization and Description of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Blaize Holdings, Inc. (together with its subsidiaries, the “Company,” “Blaize,” “we,” “our,” “us,” or the “registrant,”) is headquartered in El Dorado Hills, California, and consists of three separate operating entities: Blaize, Inc. (United States of America), Blaize New Computing Technologies India Private Limited (India), and Blaize U.K. LTD (England).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35% ownership. As of June 30, 2025, there has not been an operating agreement executed between the Company and the holder of the 65% interest that would make us the primary beneficiary of this new legal entity. The newly established entity has incurred insignificant expenses since its incorporation. As of June 30, 2025, the Company no longer plans to move forward with the collaboration and intends to dissolve the relationship.</w:t>
      </w:r>
    </w:p>
    <w:p>
      <w:pPr>
        <w:spacing w:after="0" w:line="7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3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Nasdaq under the ticker symbols “BZAI” and “BZAIW”, respectively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13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(the “Sponsor”, “BurTech LP”) of BurTech and with the close of the Merger, BurTech LP and its affiliated entities have remained a significant shareholder in Blaize.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3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June 30, 2025, the Company has funded its operations primarily with cash flows from contributions from founders or other investors and other financing activities. The Company has incurred recurring losses and negative cash flows since its inception, including net losses of $177.4 million and $28.9 million for the six months ended June 30, 2025 and 2024, respectively. As of June 30, 2025, the Company had cash and cash equivalents of approximately $28.6 million, and an accumulated deficit of $606.6 million.</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7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cash and cash equivalents balances, inclusive of funds held in escrow, in excess of domestic and international insurance limits of approximately $27.9 million and $49.3 million,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held $23.3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June 30, 2025 and December 31, 2024, restricted cash of $0.3 million was included within other assets on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2025, the Company held $0.5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June 30, 2025 and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six months ended June 30, 2025. As of June 30, 2025 and December 31, 2024, there were $0.4 million and $11.1 million, respectively, of capitalized deferred offering costs included in prepaid expenses and other current assets on the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six months ended June 30, 2025 and 2024, the Company did not recognize any impairment expense related to its long-lived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was subject to fair value remeasurement at each balance sheet date, with changes in fair value recorded in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Merger, Legacy Blaize shareholders and outstanding equity award holders (including holders of stock options and restricted stock units (“RSUs”) are entitled to receive up to 15,000,000 shares of the Company’s Class A common stock (the “Earnout Shares”) (see Note 3). Earnout Shares issued to eligible Legacy Blaize equity holders are considered a compensatory award and are accounted for under ASC 718,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Further these awards have been determined to be equity classified and accordingly will not be remeasured at each reporting date.</w:t>
      </w:r>
    </w:p>
    <w:p>
      <w:pPr>
        <w:spacing w:after="0" w:line="72" w:lineRule="exact"/>
        <w:rPr>
          <w:sz w:val="20"/>
          <w:szCs w:val="20"/>
          <w:color w:val="auto"/>
        </w:rPr>
      </w:pPr>
    </w:p>
    <w:p>
      <w:pPr>
        <w:jc w:val="both"/>
        <w:ind w:right="200" w:firstLine="449"/>
        <w:spacing w:after="0" w:line="255" w:lineRule="auto"/>
        <w:rPr>
          <w:sz w:val="20"/>
          <w:szCs w:val="20"/>
          <w:color w:val="auto"/>
        </w:rPr>
      </w:pPr>
      <w:r>
        <w:rPr>
          <w:rFonts w:ascii="Times New Roman" w:cs="Times New Roman" w:eastAsia="Times New Roman" w:hAnsi="Times New Roman"/>
          <w:sz w:val="18"/>
          <w:szCs w:val="18"/>
          <w:color w:val="auto"/>
        </w:rPr>
        <w:t xml:space="preserve">Burkhan has the right to receive up to an aggregate amount of 2,600,000 shares of Blaize common stock. Earnout Shares issued to Burkhan and all other equity holders not within the scope of ASC 718 in connection with consummation of the Merger, were evaluated by management under ASC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(see Note 3). The Company determined that the Earnout Shares are freestanding and not liability classified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480. Subsequently, management evaluated whether the Earnout Shares represented a derivative instrument pursuant to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The Company concluded that the Earnout Shares under the arrangement resulted in liability classification pursuant to ASC 815-40.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such Earnout Shares will be remeasured at each reporting date with changes in the fair value recorded to earnings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Certain common stock is held in escrow pursuant to Non-Redemption Agreements and feature certain redemption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outside of the Company’s control and within the control of the holders (see Note 3). In June 2025, the Company redeemed 2,800,489 shares of common stock. As of June 30, 2025, no shares of common stock are subject to possible redemption.</w:t>
      </w:r>
    </w:p>
    <w:p>
      <w:pPr>
        <w:spacing w:after="0" w:line="7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June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which it determines revenue recognition through the following steps: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6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5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revenue from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7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tbl>
      <w:tblPr>
        <w:tblLayout w:type="fixed"/>
        <w:tblInd w:w="0" w:type="dxa"/>
        <w:tblCellMar>
          <w:top w:w="0" w:type="dxa"/>
          <w:left w:w="0" w:type="dxa"/>
          <w:bottom w:w="0" w:type="dxa"/>
          <w:right w:w="0" w:type="dxa"/>
        </w:tblCellMar>
      </w:tblPr>
      <w:tr>
        <w:trPr>
          <w:trHeight w:val="15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5"/>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Additions to deferred revenue</w:t>
            </w:r>
            <w:r>
              <w:rPr>
                <w:rFonts w:ascii="Times New Roman" w:cs="Times New Roman" w:eastAsia="Times New Roman" w:hAnsi="Times New Roman"/>
                <w:sz w:val="24"/>
                <w:szCs w:val="24"/>
                <w:color w:val="auto"/>
                <w:vertAlign w:val="superscript"/>
              </w:rPr>
              <w:t>(1)</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6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35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35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-156845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-156845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wp:posOffset>
            </wp:positionV>
            <wp:extent cx="33604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420" w:hanging="4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deferred revenue during the three and six months ended June 30, 2025 are from related parties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-95885</wp:posOffset>
            </wp:positionV>
            <wp:extent cx="33604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5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six months ended June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13).</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w:t>
      </w:r>
    </w:p>
    <w:p>
      <w:pPr>
        <w:spacing w:after="0" w:line="77" w:lineRule="exact"/>
        <w:rPr>
          <w:sz w:val="20"/>
          <w:szCs w:val="20"/>
          <w:color w:val="auto"/>
        </w:rPr>
      </w:pPr>
    </w:p>
    <w:p>
      <w:pPr>
        <w:jc w:val="both"/>
        <w:ind w:left="780" w:right="20" w:hanging="7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78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jc w:val="both"/>
        <w:ind w:left="780" w:right="2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situations in which there is little or no market data for the asset or liability at the measurement date. This requires the reporting entity to develop its own assumptions that market participants would use in pricing the asset or liability.</w:t>
      </w:r>
    </w:p>
    <w:p>
      <w:pPr>
        <w:spacing w:after="0" w:line="6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six months ended June 30, 2025 and 2024, foreign currency transaction gains and losses were immaterial.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two customers, one a related party (see Note 15), accounted for approximately 58% and 30% of the Company's accounts receivable. As of December 31, 2024, one customer accounted for approximately 98% of the Company’s accounts receivable.</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15)</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15)</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15)</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Customer D</w:t>
            </w:r>
          </w:p>
        </w:tc>
        <w:tc>
          <w:tcPr>
            <w:tcW w:w="820" w:type="dxa"/>
            <w:vAlign w:val="bottom"/>
          </w:tcPr>
          <w:p>
            <w:pPr>
              <w:spacing w:after="0"/>
              <w:rPr>
                <w:sz w:val="16"/>
                <w:szCs w:val="16"/>
                <w:color w:val="auto"/>
              </w:rPr>
            </w:pPr>
          </w:p>
        </w:tc>
        <w:tc>
          <w:tcPr>
            <w:tcW w:w="60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E</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hanging="332"/>
        <w:spacing w:after="0"/>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less than 10% for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underlying awards of restricted common stock and unissued shares of common stock that the Company is contractually obligated to issue.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net loss per share was also retroactively adjusted for periods ended prior to the Merger and as such, the Company's only participating securities for the three and six months ended June 30, 2025 and 2024 are shares of the Company's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the condensed consolidated financial statements.</w:t>
      </w:r>
    </w:p>
    <w:p>
      <w:pPr>
        <w:spacing w:after="0" w:line="72"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Blaize for the annual period ended December 31, 2025. The Company is currently evaluating the impact that the adoption of this ASU will have on the consolidated financial statements.</w:t>
      </w:r>
    </w:p>
    <w:p>
      <w:pPr>
        <w:spacing w:after="0" w:line="6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w:t>
      </w:r>
    </w:p>
    <w:p>
      <w:pPr>
        <w:spacing w:after="0" w:line="7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w:t>
      </w:r>
    </w:p>
    <w:p>
      <w:pPr>
        <w:spacing w:after="0" w:line="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June 30, 2025.</w:t>
      </w:r>
    </w:p>
    <w:p>
      <w:pPr>
        <w:spacing w:after="0" w:line="8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six months ended June 30, 2025:</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9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662"/>
              <w:spacing w:after="0" w:line="155"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15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PIPE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96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9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(126,164)</w:t>
            </w:r>
          </w:p>
        </w:tc>
        <w:tc>
          <w:tcPr>
            <w:tcW w:w="0" w:type="dxa"/>
            <w:vAlign w:val="bottom"/>
          </w:tcPr>
          <w:p>
            <w:pPr>
              <w:spacing w:after="0"/>
              <w:rPr>
                <w:sz w:val="1"/>
                <w:szCs w:val="1"/>
                <w:color w:val="auto"/>
              </w:rPr>
            </w:pPr>
          </w:p>
        </w:tc>
      </w:tr>
      <w:tr>
        <w:trPr>
          <w:trHeight w:val="20"/>
        </w:trPr>
        <w:tc>
          <w:tcPr>
            <w:tcW w:w="86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 forfeiture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A common stock subject to redemption, outstanding prior to the Merger</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9,879,452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shares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9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Legacy Blaize shares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9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98,818,874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0" w:type="dxa"/>
            <w:vAlign w:val="bottom"/>
          </w:tcPr>
          <w:p>
            <w:pPr>
              <w:spacing w:after="0"/>
              <w:rPr>
                <w:sz w:val="1"/>
                <w:szCs w:val="1"/>
                <w:color w:val="auto"/>
              </w:rPr>
            </w:pPr>
          </w:p>
        </w:tc>
      </w:tr>
      <w:tr>
        <w:trPr>
          <w:trHeight w:val="124"/>
        </w:trPr>
        <w:tc>
          <w:tcPr>
            <w:tcW w:w="7720" w:type="dxa"/>
            <w:vAlign w:val="bottom"/>
          </w:tcPr>
          <w:p>
            <w:pPr>
              <w:spacing w:after="0"/>
              <w:rPr>
                <w:sz w:val="10"/>
                <w:szCs w:val="10"/>
                <w:color w:val="auto"/>
              </w:rPr>
            </w:pPr>
          </w:p>
        </w:tc>
        <w:tc>
          <w:tcPr>
            <w:tcW w:w="15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22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44,506,781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40,302,382</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exercise of warrants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9,623,432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111,951,386</w:t>
            </w:r>
          </w:p>
        </w:tc>
        <w:tc>
          <w:tcPr>
            <w:tcW w:w="18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02"/>
        </w:trPr>
        <w:tc>
          <w:tcPr>
            <w:tcW w:w="7720" w:type="dxa"/>
            <w:vAlign w:val="bottom"/>
            <w:tcBorders>
              <w:top w:val="single" w:sz="8" w:color="CFF0FC"/>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16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-813435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-796290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-813435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w:t>
      </w:r>
    </w:p>
    <w:p>
      <w:pPr>
        <w:spacing w:after="0" w:line="72" w:lineRule="exact"/>
        <w:rPr>
          <w:sz w:val="20"/>
          <w:szCs w:val="20"/>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$12.50 per share,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$15.00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$17.50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$20.00 per share, an additional 3,750,000 Earnout Shares will be issued</w:t>
      </w:r>
    </w:p>
    <w:p>
      <w:pPr>
        <w:spacing w:after="0" w:line="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options and RSUs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spacing w:after="0" w:line="7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estimated fair value of the Earnout Shares subject to ASC 718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During the three and six months ended June 30, 2025, the Company recorded $4.1 million and $7.6 million, respectively, in stock-based compensation expense related to the Employee Earnout Shares. During the three and six months ended June 30, 2025, 18,399 and 55,489 employee earnout shares, respectively, were forfeited due to employee terminations.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2025, there was approximately $74.6 million of total unrecognized compensation cost related to the Employee Earnout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88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9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3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3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10"/>
        </w:trPr>
        <w:tc>
          <w:tcPr>
            <w:tcW w:w="3580" w:type="dxa"/>
            <w:vAlign w:val="bottom"/>
            <w:tcBorders>
              <w:top w:val="single" w:sz="8" w:color="CFF0FC"/>
              <w:bottom w:val="single" w:sz="8" w:color="9A9A9A"/>
            </w:tcBorders>
          </w:tcPr>
          <w:p>
            <w:pPr>
              <w:spacing w:after="0"/>
              <w:rPr>
                <w:sz w:val="24"/>
                <w:szCs w:val="24"/>
                <w:color w:val="auto"/>
              </w:rPr>
            </w:pPr>
          </w:p>
        </w:tc>
        <w:tc>
          <w:tcPr>
            <w:tcW w:w="7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-882015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-864870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-882015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-864870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-882015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-864870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tbl>
      <w:tblPr>
        <w:tblLayout w:type="fixed"/>
        <w:tblInd w:w="0" w:type="dxa"/>
        <w:tblCellMar>
          <w:top w:w="0" w:type="dxa"/>
          <w:left w:w="0" w:type="dxa"/>
          <w:bottom w:w="0" w:type="dxa"/>
          <w:right w:w="0" w:type="dxa"/>
        </w:tblCellMar>
      </w:tblPr>
      <w:tr>
        <w:trPr>
          <w:trHeight w:val="156"/>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Unissued common stock liability</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 convertible notes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-2750820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-2750820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-2750820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-2750820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-1885315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-1868170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-1885315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-1868170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-1885315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-1868170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-882015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-864870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-882015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-864870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-882015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-864870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 The accrued liability associated with unissued shares of the Company's common stock due to advisors of the Company under service contracts is also included as a Level 1 instrument as it uses the Company's common stock price as of period end for remeasurement. The unissued common stock liability is included within accrued expenses and other current liabilities on the condensed consolidated balance sheet as of June 30, 2025.</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Level 3 instruments consist of earnout share liabilities. The Company has elected to apply the fair value option to measure all historical convertible notes and warrant liabilities (see Notes 8 and 9) due to the nature of their embedded features.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the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fair values of the Company's Level 3 liabilities during the three and six months ended June 30, 2025 and 2024, were as follows:</w:t>
      </w: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13"/>
                <w:szCs w:val="13"/>
                <w:color w:val="auto"/>
              </w:rPr>
            </w:pPr>
          </w:p>
        </w:tc>
        <w:tc>
          <w:tcPr>
            <w:tcW w:w="920" w:type="dxa"/>
            <w:vAlign w:val="bottom"/>
          </w:tcPr>
          <w:p>
            <w:pPr>
              <w:jc w:val="center"/>
              <w:ind w:right="97"/>
              <w:spacing w:after="0" w:line="15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earnout share awards</w:t>
            </w:r>
          </w:p>
        </w:tc>
        <w:tc>
          <w:tcPr>
            <w:tcW w:w="1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(109,261)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(271,158)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(389,388)</w:t>
            </w:r>
          </w:p>
        </w:tc>
        <w:tc>
          <w:tcPr>
            <w:tcW w:w="0" w:type="dxa"/>
            <w:vAlign w:val="bottom"/>
          </w:tcPr>
          <w:p>
            <w:pPr>
              <w:spacing w:after="0"/>
              <w:rPr>
                <w:sz w:val="1"/>
                <w:szCs w:val="1"/>
                <w:color w:val="auto"/>
              </w:rPr>
            </w:pPr>
          </w:p>
        </w:tc>
      </w:tr>
      <w:tr>
        <w:trPr>
          <w:trHeight w:val="25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shd w:val="clear" w:color="auto" w:fill="CFF0FC"/>
          </w:tcPr>
          <w:p>
            <w:pPr>
              <w:spacing w:after="0"/>
              <w:rPr>
                <w:sz w:val="21"/>
                <w:szCs w:val="21"/>
                <w:color w:val="auto"/>
              </w:rPr>
            </w:pPr>
          </w:p>
        </w:tc>
        <w:tc>
          <w:tcPr>
            <w:tcW w:w="38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03"/>
        </w:trPr>
        <w:tc>
          <w:tcPr>
            <w:tcW w:w="498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-814070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-796290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-814070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-796290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-814070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-796290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-814070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-796290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3"/>
                <w:szCs w:val="13"/>
                <w:color w:val="auto"/>
              </w:rPr>
            </w:pPr>
          </w:p>
        </w:tc>
        <w:tc>
          <w:tcPr>
            <w:tcW w:w="10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9,507</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16,764</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440" w:type="dxa"/>
            <w:vAlign w:val="bottom"/>
            <w:gridSpan w:val="6"/>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14,641</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16,042</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156,795</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24"/>
                <w:szCs w:val="24"/>
                <w:color w:val="auto"/>
              </w:rPr>
            </w:pPr>
          </w:p>
        </w:tc>
        <w:tc>
          <w:tcPr>
            <w:tcW w:w="10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8,154</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Issuance of 2023 convertible note warrants and related warrants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center"/>
              <w:ind w:left="21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38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133,088</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156,795</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-2322195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-2305050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-2322195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-2305050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-2322195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-2305050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-2322195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-2305050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-1173480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-1156970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-1173480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-1156970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-1173480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-1156970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-1173480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-1156970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231F20"/>
        </w:rPr>
        <w:t>The Company's convertible notes and related warrants outstanding as of December 31, 2024 were classified within level 3 of the fair value hierarchy because there was no active market for the liabilities or similar instruments.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six months ended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all then outstanding convertible notes and warrant liabilities were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w:t>
      </w:r>
    </w:p>
    <w:tbl>
      <w:tblPr>
        <w:tblLayout w:type="fixed"/>
        <w:tblInd w:w="0" w:type="dxa"/>
        <w:tblCellMar>
          <w:top w:w="0" w:type="dxa"/>
          <w:left w:w="0" w:type="dxa"/>
          <w:bottom w:w="0" w:type="dxa"/>
          <w:right w:w="0" w:type="dxa"/>
        </w:tblCellMar>
      </w:tblPr>
      <w:tr>
        <w:trPr>
          <w:trHeight w:val="15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line="151"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11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provision for income taxes of $39 thousand and $0.2 million, respectively, which represented effective tax rates of (0.1)%, respectively, while during the three and six months ended June 30, 2024, the Company recorded a provision for income taxes of $0.1 million and $0.3 million respectively, which represented effective tax rates of (1.1)% and (1.0)%, respectively. The effective income tax rates for the three and six months ended June 30, 2025 and 2024 are different from the U.S. federal statutory rate of 21.0% due to the valuation allowance.</w:t>
      </w:r>
    </w:p>
    <w:p>
      <w:pPr>
        <w:spacing w:after="0" w:line="7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The Company is in the process of evaluating the impact of OBBBA on our condensed consolidated financial statements. Any results of such evaluations will be reflected in the Company's consolidated financial statements included in the Company's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5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8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remains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3" w:name="page24"/>
    <w:bookmarkEnd w:id="23"/>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Blaize's common stock issuable upon the conversion of the notes, all Company shares issuable upon the exercise of warrants issued to the RT Parties, and all securities of Blaize to be issued to the RT Parties upon the consummation of the Merger.</w:t>
      </w:r>
    </w:p>
    <w:p>
      <w:pPr>
        <w:spacing w:after="0" w:line="79" w:lineRule="exact"/>
        <w:rPr>
          <w:sz w:val="20"/>
          <w:szCs w:val="20"/>
          <w:color w:val="auto"/>
        </w:rPr>
      </w:pPr>
    </w:p>
    <w:p>
      <w:pPr>
        <w:jc w:val="both"/>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79" w:lineRule="exact"/>
        <w:rPr>
          <w:sz w:val="20"/>
          <w:szCs w:val="20"/>
          <w:color w:val="auto"/>
        </w:rPr>
      </w:pPr>
    </w:p>
    <w:p>
      <w:pPr>
        <w:jc w:val="both"/>
        <w:ind w:right="180" w:firstLine="449"/>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15), which vested in full in the year ended December 31, 2023.</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June 30, 2025 and December 31, 2024, the Company had outstanding Working Capital Loans of $1.5 million and zero,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January 13, 2025, BurTech LP provided working capital and extension deposits on behalf of BurTech. These amounts are reflected on the condensed consolidated balance sheets as advances from related party. These advances are non-interest bearing and payable on demand. As of June 30, 2025 and December 31, 2024, the Company had outstanding advances from the related party in the amount of $2.9 million and zero,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issued convertible preferred stock warrants to purchase shares of its various series of convertible preferred stock.</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are indexed to the shares of Company's common stock, and therefore were reclassified from debt classified instruments to equity classified instruments.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legacy warrants net exercised, and were automatically converted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Publicly and Privately Traded Warrants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of Blaize.</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117" w:lineRule="exact"/>
        <w:rPr>
          <w:sz w:val="20"/>
          <w:szCs w:val="20"/>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900" w:right="20" w:hanging="443"/>
        <w:spacing w:after="0" w:line="28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 w:lineRule="exact"/>
        <w:rPr>
          <w:rFonts w:ascii="Times New Roman" w:cs="Times New Roman" w:eastAsia="Times New Roman" w:hAnsi="Times New Roman"/>
          <w:sz w:val="18"/>
          <w:szCs w:val="18"/>
          <w:color w:val="auto"/>
        </w:rPr>
      </w:pPr>
    </w:p>
    <w:p>
      <w:pPr>
        <w:jc w:val="both"/>
        <w:ind w:left="900" w:hanging="44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6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they will not be transferable, assignable or saleable until 30 days after the consummation of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six months ended June 30, 2025 was approximately $42 thousand and $54 thousand, respectively.</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issued in February 2025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74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37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condensed consolidated statements of operations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June 30, 2025, the Company’s operating leases had a weighted average remaining lease term of 3.0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9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0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9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9"/>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 non-current</w:t>
            </w:r>
          </w:p>
        </w:tc>
        <w:tc>
          <w:tcPr>
            <w:tcW w:w="9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 Prior to the Merger</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there were 600,000,000 and 136,562,809 shares of common stock authorized, respectively, and 98,881,933 and 48,376,052 shares issued and outstanding,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color w:val="auto"/>
        </w:rPr>
        <w:t>Shares of common stock reserved for issuance are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jc w:val="right"/>
              <w:ind w:right="294"/>
              <w:spacing w:after="0" w:line="151"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20" w:type="dxa"/>
            <w:vAlign w:val="bottom"/>
          </w:tcPr>
          <w:p>
            <w:pPr>
              <w:spacing w:after="0"/>
              <w:rPr>
                <w:sz w:val="13"/>
                <w:szCs w:val="13"/>
                <w:color w:val="auto"/>
              </w:rPr>
            </w:pPr>
          </w:p>
        </w:tc>
        <w:tc>
          <w:tcPr>
            <w:tcW w:w="172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Unissued shares of common stock</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769,231</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Incentive stock options and restricted stock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39,959,756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31,991,752</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Equity awards available for future issuance</w:t>
            </w:r>
            <w:r>
              <w:rPr>
                <w:rFonts w:ascii="Times New Roman" w:cs="Times New Roman" w:eastAsia="Times New Roman" w:hAnsi="Times New Roman"/>
                <w:sz w:val="24"/>
                <w:szCs w:val="24"/>
                <w:color w:val="auto"/>
                <w:vertAlign w:val="superscript"/>
              </w:rPr>
              <w:t>(2)</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25,199,024</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113,226,261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33,728,438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-10795</wp:posOffset>
            </wp:positionV>
            <wp:extent cx="21945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460" w:hanging="45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769,231 shares of common stock due to an advisor to satisfy an outstanding liability, which will be issued from outside the 2025 Equity Incentive Plan</w:t>
      </w:r>
    </w:p>
    <w:p>
      <w:pPr>
        <w:spacing w:after="0" w:line="2" w:lineRule="exact"/>
        <w:rPr>
          <w:rFonts w:ascii="Times New Roman" w:cs="Times New Roman" w:eastAsia="Times New Roman" w:hAnsi="Times New Roman"/>
          <w:sz w:val="14"/>
          <w:szCs w:val="14"/>
          <w:color w:val="auto"/>
        </w:rPr>
      </w:pPr>
    </w:p>
    <w:p>
      <w:pPr>
        <w:ind w:left="460" w:hanging="45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16,000 shares of common stock due to an advisor to satisfy an outstanding liability, which will be issued from the 2025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-200025</wp:posOffset>
            </wp:positionV>
            <wp:extent cx="21945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40" w:type="dxa"/>
            <w:vAlign w:val="bottom"/>
          </w:tcPr>
          <w:p>
            <w:pPr>
              <w:spacing w:after="0"/>
              <w:rPr>
                <w:sz w:val="13"/>
                <w:szCs w:val="13"/>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3,196</w:t>
            </w:r>
          </w:p>
        </w:tc>
        <w:tc>
          <w:tcPr>
            <w:tcW w:w="106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4,370</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7,566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During the three months ended June 30, 2025, the Company authorized an increase of 5,102,758 shares available for issuance under the 2025 Incentive Plan, bringing the total authorized shares available under the 2025 Incentive Plan to approximately 30.5 million.</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 Company commenced the granting of equity awards under the 2025 Incentive Plan. As of June 30, 2025, approximately 22.1 million shares of common stock were reserved for issuance under the plan.</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2025 Incentive Plan, the Company ceased making grants under the 2011 Equity Incentive Plan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left="168"/>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9.2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(348,653)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8.7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June 30,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28,011,982</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June 30,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9,438,159</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7.9</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20,139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-350520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-334010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-350520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-334010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$16.2 million of total unrecognized compensation cost related to unvested stock options, which is expected to be recognized over a weighted average period of 2.1 years.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six months ended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(31,318)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11,947,774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 event condition was only satisfied on the consummation of a liquidity event, such as an IPO, which was not determinable or probable as of December 31, 2024. Effective with the consummation of the Merger, we recognized $3.9 million in stock-based compensation expense associated with the vesting of the outstanding RSUs (see Note 3).</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2,853,562 shares of common stock that are subject to the release of the vested RSU have not been issued to the holders but have been included in the weighted average shares outstanding calculation for purposes of earning per share (see Note 17).</w:t>
      </w:r>
    </w:p>
    <w:p>
      <w:pPr>
        <w:spacing w:after="0" w:line="5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$22.2 million of total unrecognized compensation cost related to unvested RSUs, which is expected to be recognized over a weighted average period of 3.0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June 30, 2025, approximately 3.0 million shares of common stock were reserved for issuance pursuant to the 2025 ESPP. As of June 30, 2025, no offers have been made to purchase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outstanding purchase orders and contractual obligations totaling approximately $2.0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spacing w:after="0" w:line="6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the contract manufacturer when components have not been consumed within a period defined in the terms of our agreement. The Company purchased inventories due to this obligation as follows:</w:t>
      </w:r>
    </w:p>
    <w:tbl>
      <w:tblPr>
        <w:tblLayout w:type="fixed"/>
        <w:tblInd w:w="0" w:type="dxa"/>
        <w:tblCellMar>
          <w:top w:w="0" w:type="dxa"/>
          <w:left w:w="0" w:type="dxa"/>
          <w:bottom w:w="0" w:type="dxa"/>
          <w:right w:w="0" w:type="dxa"/>
        </w:tblCellMar>
      </w:tblPr>
      <w:tr>
        <w:trPr>
          <w:trHeight w:val="156"/>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20" w:type="dxa"/>
            <w:vAlign w:val="bottom"/>
          </w:tcPr>
          <w:p>
            <w:pPr>
              <w:spacing w:after="0"/>
              <w:rPr>
                <w:sz w:val="13"/>
                <w:szCs w:val="13"/>
                <w:color w:val="auto"/>
              </w:rPr>
            </w:pPr>
          </w:p>
        </w:tc>
        <w:tc>
          <w:tcPr>
            <w:tcW w:w="2820" w:type="dxa"/>
            <w:vAlign w:val="bottom"/>
            <w:gridSpan w:val="4"/>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June 30, 2025 and December 31, 2024, the liability balance of our accrued losses on purchase commitments equaled $0.6 million on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w:t>
      </w:r>
    </w:p>
    <w:p>
      <w:pPr>
        <w:spacing w:after="0" w:line="54"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w:t>
      </w:r>
    </w:p>
    <w:p>
      <w:pPr>
        <w:spacing w:after="0" w:line="6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June 30,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June 30,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121" w:lineRule="exact"/>
        <w:rPr>
          <w:sz w:val="20"/>
          <w:szCs w:val="20"/>
          <w:color w:val="auto"/>
        </w:rPr>
      </w:pPr>
    </w:p>
    <w:p>
      <w:pPr>
        <w:jc w:val="both"/>
        <w:ind w:right="240" w:firstLine="449"/>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9" w:name="page30"/>
    <w:bookmarkEnd w:id="29"/>
    <w:p>
      <w:pPr>
        <w:jc w:val="both"/>
        <w:ind w:right="220" w:firstLine="44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our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we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8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April 2024,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June 30, 2025, we entered into a Sales Partner Referral Agreement (the “Referral Agreement”) with Burkhan LLC (the “Sales Partner”), an affiliate of Burkhan. Pursuant to the Referral Agreement, the Sales Partner will, on a non-exclusive basis, promote certain of our products and refer potential customers to us. The Company may approve or reject any customer opportunity presented by the Sales Partner in its sole discretion. For any approved customer opportunity, the Sales Partner and Blaize will negotiate in good faith on the commissions payable to the Sales Partner.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7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Under the agreement, BST will purchase up to approximately $56.5 million of the Company's products on behalf of an unaffiliated end user, beginning in the second quarter of 2025 through 2026. BST will receive a financing fee of 2.5% of the total purchase price from the end user and the Sales Partner will receive a commission, payable by Blaize, of up to 10%, depending on our gross margins under the purchase order, payable in cash or partially, at our discretion, in shares of the Company's common stock.</w:t>
      </w:r>
    </w:p>
    <w:p>
      <w:pPr>
        <w:spacing w:after="0" w:line="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pursuant to the Referral Agreement, the Company recognized $1.6 million in revenue from sales to an affiliate of Burkhan, inclusive of a $0.2 million sales commission to Burkhan which was reported as a reduction of revenue, and as accrued expense as of June 30, 2025. During the three and six months ended June 30, 2024, the Company recognized revenue of approximately $0.2 million and $0.8 million, respectively, approximately 99% of total revenue in the periods, from sales to two minority stockholders.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there was $1.8 million in accounts receivable that was due from an affiliate of Burkhan, while as of December 31, 2024 there was no amounts due from this customer. As of June 30, 2025 and December 31, 2024, there were no accounts receivable due from the two minority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w:t>
      </w:r>
      <w:r>
        <w:rPr>
          <w:rFonts w:ascii="Times New Roman" w:cs="Times New Roman" w:eastAsia="Times New Roman" w:hAnsi="Times New Roman"/>
          <w:sz w:val="18"/>
          <w:szCs w:val="18"/>
          <w:color w:val="242424"/>
        </w:rPr>
        <w:t>As of December 31, 2024,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six months ended June 30, 2025, the change </w:t>
      </w:r>
      <w:r>
        <w:rPr>
          <w:rFonts w:ascii="Times New Roman" w:cs="Times New Roman" w:eastAsia="Times New Roman" w:hAnsi="Times New Roman"/>
          <w:sz w:val="18"/>
          <w:szCs w:val="18"/>
          <w:color w:val="000000"/>
        </w:rPr>
        <w:t>in fair value for the respective</w:t>
      </w:r>
      <w:r>
        <w:rPr>
          <w:rFonts w:ascii="Times New Roman" w:cs="Times New Roman" w:eastAsia="Times New Roman" w:hAnsi="Times New Roman"/>
          <w:sz w:val="18"/>
          <w:szCs w:val="18"/>
          <w:color w:val="242424"/>
        </w:rPr>
        <w:t xml:space="preserve"> 2023 Convertible Note was </w:t>
      </w:r>
      <w:r>
        <w:rPr>
          <w:rFonts w:ascii="Times New Roman" w:cs="Times New Roman" w:eastAsia="Times New Roman" w:hAnsi="Times New Roman"/>
          <w:sz w:val="18"/>
          <w:szCs w:val="18"/>
          <w:color w:val="000000"/>
        </w:rPr>
        <w:t>zero and $6.0 million, respectively</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(see Note 5). </w:t>
      </w:r>
      <w:r>
        <w:rPr>
          <w:rFonts w:ascii="Times New Roman" w:cs="Times New Roman" w:eastAsia="Times New Roman" w:hAnsi="Times New Roman"/>
          <w:sz w:val="18"/>
          <w:szCs w:val="18"/>
          <w:color w:val="242424"/>
        </w:rPr>
        <w:t>During the three and six months ended June 30, 2024, the changes</w:t>
      </w:r>
      <w:r>
        <w:rPr>
          <w:rFonts w:ascii="Times New Roman" w:cs="Times New Roman" w:eastAsia="Times New Roman" w:hAnsi="Times New Roman"/>
          <w:sz w:val="18"/>
          <w:szCs w:val="18"/>
          <w:color w:val="000000"/>
        </w:rPr>
        <w:t xml:space="preserve"> in fair value for the respective </w:t>
      </w:r>
      <w:r>
        <w:rPr>
          <w:rFonts w:ascii="Times New Roman" w:cs="Times New Roman" w:eastAsia="Times New Roman" w:hAnsi="Times New Roman"/>
          <w:sz w:val="18"/>
          <w:szCs w:val="18"/>
          <w:color w:val="242424"/>
        </w:rPr>
        <w:t>2023 Convertible Note and 2023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 xml:space="preserve">Convertible Note Warrants </w:t>
      </w:r>
      <w:r>
        <w:rPr>
          <w:rFonts w:ascii="Times New Roman" w:cs="Times New Roman" w:eastAsia="Times New Roman" w:hAnsi="Times New Roman"/>
          <w:sz w:val="18"/>
          <w:szCs w:val="18"/>
          <w:color w:val="000000"/>
        </w:rPr>
        <w:t>equaled $(0.6) million and $0.3 million, respectively, and $(0.3) million and $(0.3) million, respectively (see Note 5).</w:t>
      </w:r>
    </w:p>
    <w:p>
      <w:pPr>
        <w:spacing w:after="0" w:line="8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we had a prior revenue arrangement, representing zero and approximately 43% of total revenues for the three and six months ended June 30,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w:t>
      </w:r>
      <w:r>
        <w:rPr>
          <w:rFonts w:ascii="Times New Roman" w:cs="Times New Roman" w:eastAsia="Times New Roman" w:hAnsi="Times New Roman"/>
          <w:sz w:val="18"/>
          <w:szCs w:val="18"/>
          <w:color w:val="242424"/>
        </w:rPr>
        <w:t>his related party’s respective P2P Note and P2P Warrants were converted into common stock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Merger (see Note 3). </w:t>
      </w:r>
      <w:r>
        <w:rPr>
          <w:rFonts w:ascii="Times New Roman" w:cs="Times New Roman" w:eastAsia="Times New Roman" w:hAnsi="Times New Roman"/>
          <w:sz w:val="18"/>
          <w:szCs w:val="18"/>
          <w:color w:val="000000"/>
        </w:rPr>
        <w:t>During the three and six months ended June 30, 2025, the change in fair value for the respective P2P Note was zero and $7.2 million,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respectively (see Note 5). During the three and six months ended June 30, 2024, the change in fair value for the respective P2P Note and P2P Warrants was $0.4 million and $0.4 million, respectively, and $(20) thousand and $(12) thousand, respectively (see Note 5).</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2022, one of the minority stockholders with which we had a prior revenue arrangement, representing approximately 99% and 56% of total revenues for the three and six months ended June 30, 2024, respectively, and 98% of accounts receivable as of December 31, 2024,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w:t>
      </w:r>
      <w:r>
        <w:rPr>
          <w:rFonts w:ascii="Times New Roman" w:cs="Times New Roman" w:eastAsia="Times New Roman" w:hAnsi="Times New Roman"/>
          <w:sz w:val="18"/>
          <w:szCs w:val="18"/>
          <w:color w:val="242424"/>
        </w:rPr>
        <w:t>2022 P2P Note and P2P Warrants were converted into common stock in connection with the Merger (see Note 3). During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three and six months ended June 30, 2025</w:t>
      </w:r>
      <w:r>
        <w:rPr>
          <w:rFonts w:ascii="Times New Roman" w:cs="Times New Roman" w:eastAsia="Times New Roman" w:hAnsi="Times New Roman"/>
          <w:sz w:val="18"/>
          <w:szCs w:val="18"/>
          <w:color w:val="000000"/>
        </w:rPr>
        <w:t>, the changes in fair value for this set of P2P Notes were zero and $0.8 million, respectively (see Note 5). During</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the three and six months ended June 30, 2024, the changes in fair value for this set of P2P Note and P2P Note Warrants were immaterial (see Note 5).</w:t>
      </w:r>
    </w:p>
    <w:p>
      <w:pPr>
        <w:spacing w:after="0" w:line="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June 30, 2025, payment on the note had not yet been received.</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incurred zero and $0.2 million, respectively, of marketing expenses paid to a company owned by a direct family member of one of our minority stockholders and board of directors. During the three and six months ended June 30, 2024, the Company incurred no such marketing expenses.</w:t>
      </w:r>
    </w:p>
    <w:p>
      <w:pPr>
        <w:spacing w:after="0" w:line="68" w:lineRule="exact"/>
        <w:rPr>
          <w:sz w:val="20"/>
          <w:szCs w:val="20"/>
          <w:color w:val="auto"/>
        </w:rPr>
      </w:pPr>
    </w:p>
    <w:p>
      <w:pPr>
        <w:ind w:right="1540" w:firstLine="449"/>
        <w:spacing w:after="0" w:line="375" w:lineRule="auto"/>
        <w:rPr>
          <w:sz w:val="20"/>
          <w:szCs w:val="20"/>
          <w:color w:val="auto"/>
        </w:rPr>
      </w:pPr>
      <w:r>
        <w:rPr>
          <w:rFonts w:ascii="Times New Roman" w:cs="Times New Roman" w:eastAsia="Times New Roman" w:hAnsi="Times New Roman"/>
          <w:sz w:val="18"/>
          <w:szCs w:val="18"/>
          <w:color w:val="auto"/>
        </w:rPr>
        <w:t xml:space="preserve">As of June 30, 2025, the Company has amounts due for a Working Capital Loan and advances from a related party (see Note 8). </w:t>
      </w:r>
      <w:r>
        <w:rPr>
          <w:rFonts w:ascii="Times New Roman" w:cs="Times New Roman" w:eastAsia="Times New Roman" w:hAnsi="Times New Roman"/>
          <w:sz w:val="18"/>
          <w:szCs w:val="18"/>
          <w:b w:val="1"/>
          <w:bCs w:val="1"/>
          <w:color w:val="auto"/>
        </w:rPr>
        <w:t>Note 16. Segment Reporting</w:t>
      </w:r>
    </w:p>
    <w:p>
      <w:pPr>
        <w:spacing w:after="0" w:line="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adjusted for irregular items (“Adjusted EBITDA”), to make decisions regarding the allocation of resources and assessment of performance. The Company defines Adjusted EBITDA as net loss before interest, taxes, depreciation and amortization, certain non-cash items and other adjustments that we do not consider in our evaluation of ongoing operating performance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Employee costs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(15,242)</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(8,172)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(34,323)</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(13,872)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costs</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(7,557)</w:t>
            </w:r>
          </w:p>
        </w:tc>
        <w:tc>
          <w:tcPr>
            <w:tcW w:w="9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(117,087)</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(9,642)</w:t>
            </w: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(6,550)</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(24,171)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(29,589)</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(177,350)</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60" w:hanging="452"/>
        <w:spacing w:after="0" w:line="261" w:lineRule="auto"/>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includes marketing expense, professional fees, income tax expense, facilities costs, foreign currency exchange gains and losses, credit loss expense, and other overhead expenses</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reflects our EBITDA and Adjusted EBITDA: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80" w:type="dxa"/>
            <w:vAlign w:val="bottom"/>
          </w:tcPr>
          <w:p>
            <w:pPr>
              <w:spacing w:after="0"/>
              <w:rPr>
                <w:sz w:val="13"/>
                <w:szCs w:val="13"/>
                <w:color w:val="auto"/>
              </w:rPr>
            </w:pPr>
          </w:p>
        </w:tc>
        <w:tc>
          <w:tcPr>
            <w:tcW w:w="2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(29,589)</w:t>
            </w:r>
          </w:p>
        </w:tc>
        <w:tc>
          <w:tcPr>
            <w:tcW w:w="9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(12,153)</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(177,350)</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(29,408)</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(12,471)</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(177,215)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(28,570)</w:t>
            </w: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4"/>
                <w:szCs w:val="24"/>
                <w:color w:val="auto"/>
                <w:vertAlign w:val="superscript"/>
              </w:rPr>
              <w:t>(1)</w:t>
            </w:r>
          </w:p>
        </w:tc>
        <w:tc>
          <w:tcPr>
            <w:tcW w:w="4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(12,933)</w:t>
            </w:r>
          </w:p>
        </w:tc>
        <w:tc>
          <w:tcPr>
            <w:tcW w:w="9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(10,560)</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(28,313)</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-156845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-156845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-156845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-10795</wp:posOffset>
            </wp:positionV>
            <wp:extent cx="41490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jc w:val="both"/>
        <w:ind w:left="460" w:hanging="452"/>
        <w:spacing w:after="0" w:line="241" w:lineRule="auto"/>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includes, but is not limited to, legal, accounting and consulting fees incurred in connection with the Merger and the impact of other items management does not believe relate to the core operations of the business (foreign exchange gains and losses, litigation expense, etc.). Management believes these costs are not reflective of our ongoing operating performance and that excluding these costs provides a more meaningful comparison of our performance over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-301625</wp:posOffset>
            </wp:positionV>
            <wp:extent cx="41490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52"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tbl>
      <w:tblPr>
        <w:tblLayout w:type="fixed"/>
        <w:tblInd w:w="0" w:type="dxa"/>
        <w:tblCellMar>
          <w:top w:w="0" w:type="dxa"/>
          <w:left w:w="0" w:type="dxa"/>
          <w:bottom w:w="0" w:type="dxa"/>
          <w:right w:w="0" w:type="dxa"/>
        </w:tblCellMar>
      </w:tblPr>
      <w:tr>
        <w:trPr>
          <w:trHeight w:val="156"/>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5"/>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As of June 30, 2025</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8"/>
          </w:tcPr>
          <w:p>
            <w:pPr>
              <w:jc w:val="right"/>
              <w:ind w:right="960"/>
              <w:spacing w:after="0" w:line="155"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Fixed Assets</w:t>
            </w:r>
          </w:p>
        </w:tc>
        <w:tc>
          <w:tcPr>
            <w:tcW w:w="22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40" w:type="dxa"/>
            <w:vAlign w:val="bottom"/>
            <w:shd w:val="clear" w:color="auto" w:fill="CFF0FC"/>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4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92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amounts)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(29,589)</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Weighted average number of shares outstanding, basic and</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80" w:type="dxa"/>
            <w:vAlign w:val="bottom"/>
          </w:tcPr>
          <w:p>
            <w:pPr>
              <w:ind w:left="60"/>
              <w:spacing w:after="0" w:line="241"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104,588,373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13,623,106</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98,374,632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13,618,188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-1631315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-1631315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-1631315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-1631315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60" w:hanging="452"/>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2,853,562 vested but unissued shares underlying awards of restricted common stock and 785,231 shares that the Company is contractually obligated to issue.</w:t>
      </w:r>
    </w:p>
    <w:p>
      <w:pPr>
        <w:spacing w:after="0" w:line="9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jc w:val="both"/>
        <w:ind w:right="20" w:firstLine="449"/>
        <w:spacing w:after="0" w:line="257"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w:t>
      </w:r>
    </w:p>
    <w:tbl>
      <w:tblPr>
        <w:tblLayout w:type="fixed"/>
        <w:tblInd w:w="0" w:type="dxa"/>
        <w:tblCellMar>
          <w:top w:w="0" w:type="dxa"/>
          <w:left w:w="0" w:type="dxa"/>
          <w:bottom w:w="0" w:type="dxa"/>
          <w:right w:w="0" w:type="dxa"/>
        </w:tblCellMar>
      </w:tblPr>
      <w:tr>
        <w:trPr>
          <w:trHeight w:val="156"/>
        </w:trPr>
        <w:tc>
          <w:tcPr>
            <w:tcW w:w="4200" w:type="dxa"/>
            <w:vAlign w:val="bottom"/>
          </w:tcPr>
          <w:p>
            <w:pPr>
              <w:spacing w:after="0"/>
              <w:rPr>
                <w:sz w:val="13"/>
                <w:szCs w:val="13"/>
                <w:color w:val="auto"/>
              </w:rPr>
            </w:pPr>
          </w:p>
        </w:tc>
        <w:tc>
          <w:tcPr>
            <w:tcW w:w="3320" w:type="dxa"/>
            <w:vAlign w:val="bottom"/>
            <w:gridSpan w:val="3"/>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3"/>
                <w:szCs w:val="13"/>
                <w:color w:val="auto"/>
              </w:rPr>
            </w:pPr>
          </w:p>
        </w:tc>
        <w:tc>
          <w:tcPr>
            <w:tcW w:w="3460" w:type="dxa"/>
            <w:vAlign w:val="bottom"/>
            <w:gridSpan w:val="4"/>
          </w:tcPr>
          <w:p>
            <w:pPr>
              <w:ind w:left="820"/>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20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34,702,999</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12,756,927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28,011,982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12,756,927</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9,124,212</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3,769,038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9,124,212</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3,769,038</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Blaize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7,505,656</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7,505,656</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Private warrants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6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66,834,444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58,734,620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66,834,444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58,734,620</w:t>
            </w:r>
          </w:p>
        </w:tc>
        <w:tc>
          <w:tcPr>
            <w:tcW w:w="1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Employee Benefit Plan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in the US meeting certain age and service requirements. The Company makes discretionary contributions to the 401(k) plan. The Company operates a defined contribution pension scheme in the UK for employees and makes employer contributions to this scheme on behalf of those employees. The Company recorded $0.2 million and $0.3 million in contributions during the three and six months ended June 30, 2025 and $0.3 million in contributions for both the three and six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June 30, 2025 and December 31, 2024, the related liability is included within accrued compensation on the condensed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Held-in-Escrow</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July 10, 2025, the Company received the $0.5 million of funds previously held in escrow. As of the filing date of these condensed consolidated financial statements, the Company has nothing held in escrow.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a Common Stock Purchase Agreement (the “Purchase Agreement”) and a related Registration Rights Agreement (the “Registration Rights Agreement”) with B. Riley Principal Capital II, LLC (“B. Riley”). Upon the terms and subject to the satisfaction of the conditions set forth in the Purchase Agreement, the Company will have the right, in its sole discretion, to sell to B. Riley up to an aggregate of $50,000,000 of newly issued shares of the Company’s common stock, par value $0.0001 per share (the “Common Stock”), subject to certain conditions and limitations contained in the Purchase Agreement, from time to time during the term of the Purchase Agreement. Sales of shares of the Company's common stock to B. Riley under the Purchase Agreement, and the timing of any such sales, are solely at the Company’s option, and the Company is under no obligation to sell any securities to B. Riley under the Purchase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with Starshine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16, 2025, the Company entered into a Strategic Cooperation Agreement (the “Starshine Agreement”) with Starshine Computing Power Technology Limited, a Hong Kong company (“Starshine”). Pursuant to the terms of the Starshine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Starshine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SEC on April 15,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7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with Starshine</w:t>
      </w:r>
    </w:p>
    <w:p>
      <w:pPr>
        <w:spacing w:after="0" w:line="121"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Starshine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Equity Facility</w:t>
      </w:r>
    </w:p>
    <w:p>
      <w:pPr>
        <w:spacing w:after="0" w:line="121" w:lineRule="exact"/>
        <w:rPr>
          <w:sz w:val="20"/>
          <w:szCs w:val="20"/>
          <w:color w:val="auto"/>
        </w:rPr>
      </w:pPr>
    </w:p>
    <w:p>
      <w:pPr>
        <w:jc w:val="both"/>
        <w:ind w:firstLine="809"/>
        <w:spacing w:after="0" w:line="253"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“Purchase Agreement”) and a related Registration Rights Agreement with B. Riley Principal Capital II, LLC (“B. Riley Principal Capital II”). Upon the terms and subject to the satisfaction of the conditions set forth in the Purchase Agreement, the Company will have the right, in its sole discretion, to sell to B. Riley Principal Capital II up to an aggregate of $50,000,000 of our newly issued shares of common stock, subject to certain conditions and limitations contained in the Purchase Agreement, from time to time during the term of the Purchase Agreement, including that (i) B. Riley Principal Capital II be provided rights to purchase shares at a price based on the volume-weighted average price of the Common Stock, with a 3% discount, and (ii) that we may issue no more than the number of shares equal to 19.99% of the aggregate number of our issued and outstanding shares of common stock as of immediately prior to the execution of the Purchase Agreement without</w:t>
      </w:r>
    </w:p>
    <w:p>
      <w:pPr>
        <w:spacing w:after="0" w:line="3" w:lineRule="exact"/>
        <w:rPr>
          <w:sz w:val="20"/>
          <w:szCs w:val="20"/>
          <w:color w:val="auto"/>
        </w:rPr>
      </w:pPr>
    </w:p>
    <w:p>
      <w:pPr>
        <w:jc w:val="both"/>
        <w:ind w:firstLine="8"/>
        <w:spacing w:after="0" w:line="253"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obtaining stockholder approval or (b) ensuring that the price per share paid by B. Riley Principal Capital II for all shares purchased equals or exceeds $2.9318 per share, which would allow the issuance to exceed the Exchange Cap under applicable Nasdaq rules. We plan to use proceeds from these sales for strategic initiatives, including the commercialization of a South Asia smart infrastructure contract and investment in next-generation technology. As of August 14, 2025, sales under the Purchase Agreement had not yet commenced.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Partner Referral Agreement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June 30, 2025, we entered into a Sales Partner Referral Agreement (the “Referral Agreement”) with Burkhan LLC (the “Sales Partner”), an affiliate of Burkhan.</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Pursuant to the Referral Agreement, the Sales Partner will, on a non-exclusive basis, promote certain of our products and refer potential customers to us. We may approve or reject any customer opportunity presented by the Sales Partner in its sole discretion. For any approved customer opportunity, the Sales Partner and us will negotiate in good faith on the commission payable to the Sales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5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Burkhan, as described in the referral exhibit thereto (the “Referral Exhibit”). Under the Referral Exhibit, BST will purchase up to approximately $56.5 million of our products on behalf of an unaffiliated end user, beginning in the second quarter of 2025 through 2026. BST will receive a financing fee of 2.5% of the total purchase price from the end user and Sales Partner will receive a commission payable by us of up to 10%, depending on our gross margins under the purchase order, payable in cash or partially, at our discretion, in shares of our common stock, as described in the Referral Exhibit.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could significantly accelerate growth through near-term customer implementations. Although Blaize has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Proof of Concept Stage</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significant value proposition along with its tailored use scenarios and satisfaction of customer and/or partner requirements. As of June 30, 2025, a total of 49 POCs have been initiated or are in progress with a potential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June 30, 2025, Blaize has a total of 36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Wins</w:t>
      </w:r>
    </w:p>
    <w:p>
      <w:pPr>
        <w:spacing w:after="0" w:line="12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June 30, 2025, a total of 25 Design Wins have been confirmed with a Partner or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17" w:lineRule="exact"/>
        <w:rPr>
          <w:sz w:val="20"/>
          <w:szCs w:val="20"/>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 this involves providing customized design services to our customers, tailored to their specific requirements.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this encompasses the sale of our applications and other software products through various licensing agreements.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(“cost of revenue”),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Transaction costs primarily consist of direct incremental legal, consulting and banking fees primarily related to the Merger.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Blaize’s condensed consolidated statements of operations data for the three and six months ended June 30, 2025 and 2024, respectively, as well as changes between periods. The period-to-period comparison of financial results is not necessarily indicative of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bl>
      <w:tblPr>
        <w:tblLayout w:type="fixed"/>
        <w:tblInd w:w="0" w:type="dxa"/>
        <w:tblCellMar>
          <w:top w:w="0" w:type="dxa"/>
          <w:left w:w="0" w:type="dxa"/>
          <w:bottom w:w="0" w:type="dxa"/>
          <w:right w:w="0" w:type="dxa"/>
        </w:tblCellMar>
      </w:tblPr>
      <w:tr>
        <w:trPr>
          <w:trHeight w:val="155"/>
        </w:trPr>
        <w:tc>
          <w:tcPr>
            <w:tcW w:w="3620" w:type="dxa"/>
            <w:vAlign w:val="bottom"/>
          </w:tcPr>
          <w:p>
            <w:pPr>
              <w:spacing w:after="0"/>
              <w:rPr>
                <w:sz w:val="13"/>
                <w:szCs w:val="13"/>
                <w:color w:val="auto"/>
              </w:rPr>
            </w:pPr>
          </w:p>
        </w:tc>
        <w:tc>
          <w:tcPr>
            <w:tcW w:w="168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11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4"/>
          </w:tcPr>
          <w:p>
            <w:pPr>
              <w:jc w:val="center"/>
              <w:ind w:right="44"/>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w:t>
            </w:r>
          </w:p>
        </w:tc>
        <w:tc>
          <w:tcPr>
            <w:tcW w:w="220" w:type="dxa"/>
            <w:vAlign w:val="bottom"/>
          </w:tcPr>
          <w:p>
            <w:pPr>
              <w:spacing w:after="0"/>
              <w:rPr>
                <w:sz w:val="13"/>
                <w:szCs w:val="13"/>
                <w:color w:val="auto"/>
              </w:rPr>
            </w:pPr>
          </w:p>
        </w:tc>
        <w:tc>
          <w:tcPr>
            <w:tcW w:w="11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1,759</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2,217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We experienced increases in revenue for both the three and six months ended June 30, 2025, as compared to the equivalent prior year periods. For the three months ended June 30, 2025, revenue increased 789% to $2.0 million, up from approximately $0.2 million for the three months ended June 30, 2024. The increase was primarily due to an increase of $1.4 million in hardware product sales and an increase of $0.6 million in software revenue partially offset by a decrease of $0.2 million in engineering services revenue due to the conclusion of a development contract with a strategic investor. For the six months ended June 30, 2025, revenue increased 287% to $3.0 million compared to $0.8 million during the six months ended June 30, 2024. The increase was primarily due to an increase of $2.4 million in hardware product sales and an increase of $0.6 million in software revenue, partially offset by a decrease of $0.8 million in engineering services revenue due to the end of the development contract with the strategic investor.</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sets forth Blaize’s revenue by customer geographical location: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4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4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7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4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1"/>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4"/>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9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3"/>
        </w:trPr>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-959485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-959485</wp:posOffset>
            </wp:positionV>
            <wp:extent cx="1117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-959485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-959485</wp:posOffset>
            </wp:positionV>
            <wp:extent cx="1117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-959485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-959485</wp:posOffset>
            </wp:positionV>
            <wp:extent cx="1111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-959485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-959485</wp:posOffset>
            </wp:positionV>
            <wp:extent cx="1117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231F20"/>
        </w:rPr>
        <w:t>Costs and Expenses</w:t>
      </w: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168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30,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shd w:val="clear" w:color="auto" w:fill="CFF0FC"/>
          </w:tcPr>
          <w:p>
            <w:pPr>
              <w:ind w:left="40"/>
              <w:spacing w:after="0" w:line="182" w:lineRule="exact"/>
              <w:rPr>
                <w:sz w:val="20"/>
                <w:szCs w:val="20"/>
                <w:color w:val="auto"/>
              </w:rPr>
            </w:pPr>
            <w:r>
              <w:rPr>
                <w:rFonts w:ascii="Times New Roman" w:cs="Times New Roman" w:eastAsia="Times New Roman" w:hAnsi="Times New Roman"/>
                <w:sz w:val="16"/>
                <w:szCs w:val="16"/>
                <w:color w:val="auto"/>
              </w:rPr>
              <w:t>Cost of revenue (exclusive of depreciation and</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3"/>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Transaction costs</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13,894%</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-161925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-161925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-161925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-161925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-161925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-161925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Cost of revenue</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Cost of revenue increased for both the three and six months ended June 30, 2025, as compared to the equivalent prior year periods. For the three months ended June 30, 2025, cost of revenue increased by $0.5 million, or 213%, to $0.8 million, up from $0.3 million in the three months ended June 30, 2024. This increase was mainly due to an increase of $0.6 million in hardware product sales costs due to fulfilling additional sales contracts, partially offset by a small reduction in inventory carrying costs. For the six months ended June 30, 2025, cost of revenue increased by $0.6 million, or 101%, to $1.1 million, up from $0.6 million in the six months ended June 30, 2024. This increase was primarily attributable to an increase of $0.9 million in hardware product sales costs, offset by a $0.4 million reduction in inventory carrying costs. This increase in hardware product sales costs was primarily driven by the additional costs associated with fulfilling new sales contracts.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231F20"/>
        </w:rPr>
        <w:t>R&amp;D expense increased for both the three and six months ended June 30, 2025, as compared to the equivalent prior year periods. R&amp;D expense was $9.6 million and $22.7 million for the three and six months ended June 30, 2025, respectively, reflecting increases of $3.7 million, or 64%, and $12.8 million, or 128%, compared to the three and six months ended June 30, 2024, respectively. For the three months ended June 30, 2025, the increase was primarily driven by an increase in stock-based compensation of $3.0 million, higher equipment maintenance and software expenses of $0.7 million and software optimization expenses of $0.6 million, partially offset by a $0.9 million reduction in payroll costs. The increase in R&amp;D expense in the six-month period ended June 30, 2025 was primarily driven by an increase in stock-based compensation of $8.8 million, increased equipment maintenance and software expenses of $1.4 million, new chip IP license and design costs of $1.2 million, and $0.7 million for software optimization services.</w:t>
      </w:r>
    </w:p>
    <w:p>
      <w:pPr>
        <w:spacing w:after="0" w:line="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The increases in R&amp;D expenses described above were primarily for strategic investments in innovation, and we expect the increases in R&amp;D expense to continue as we support the development of our next generation product portfolio.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w:t>
      </w:r>
    </w:p>
    <w:p>
      <w:pPr>
        <w:spacing w:after="0" w:line="11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SG&amp;A expense significantly increased for both the three and six months ended June 30, 2025, as compared to the equivalent prior year periods. For the three months ended June 30, 2025, SG&amp;A expense increased by $8.0 million, or 160%, compared to the three months ended June 30, 2024. This increase was primarily due to an increase of $4.2 million in stock-based compensation, an increase of $2.0 million in professional services, an increase of $0.7 million in payroll expense, an increase of $0.5 million in marketing and public relations expenses and an increase of $0.6 million in other corporate expenses, including insurance and IT costs. For the six months ended June 30, 2025, SG&amp;A expense increased by $17.4 million, or 193%, reaching $26.3 million, up from $9.0 million for the six months ended June 30, 2024. This increase was primarily due to an increase of $9.1 million in stock-based compensation, an increase of $3.3 million in professional services, an increase of $2.1 million in payroll expense, an increase of $1.3 million in marketing and public relations expenses, and an increase of $1.6 million in other corporate expenses, including insurance and IT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Depreciation and amortization</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Depreciation and amortization expense was $0.5 million and $0.6 million for the three and six months ended June 30, 2025, respectively, reflecting increases of $0.3 million, or 148%, and $0.2 million, or 48%, compared to the three and six months ended June 30, 2024, respectively. The increases were primarily due to updating the estimated residual value of some of our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Transaction costs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Transaction costs for the six months ended June 30, 2025 increased by $12.0 million as compared to the six months ended June 30, 2024 as a direct result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231F20"/>
        </w:rPr>
        <w:t>Total Other Expense, net</w:t>
      </w: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1980" w:type="dxa"/>
            <w:vAlign w:val="bottom"/>
            <w:gridSpan w:val="7"/>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on foreign exchange transactions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(155,18</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(5,872)</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(165,703)</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(10,523)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1,475%</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(4,860)</w:t>
            </w:r>
          </w:p>
        </w:tc>
        <w:tc>
          <w:tcPr>
            <w:tcW w:w="2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(60,345)</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(61,690)</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(4,587)%</w:t>
            </w: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Change in fair value of earnout share liabilities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(7,257)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(7,257)</w:t>
            </w:r>
          </w:p>
        </w:tc>
        <w:tc>
          <w:tcPr>
            <w:tcW w:w="2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109,261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 of unissued shares</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4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(706)</w:t>
            </w:r>
          </w:p>
        </w:tc>
        <w:tc>
          <w:tcPr>
            <w:tcW w:w="2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(496)</w:t>
            </w:r>
          </w:p>
        </w:tc>
        <w:tc>
          <w:tcPr>
            <w:tcW w:w="2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82"/>
        </w:trPr>
        <w:tc>
          <w:tcPr>
            <w:tcW w:w="354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color w:val="auto"/>
              </w:rPr>
              <w:t>Total other expense, net</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(107,91</w:t>
            </w: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5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(7,667)</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(6,780)</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(117,245)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(9,331)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-290830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-290830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-290830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-290830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-290830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-290830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Total other expense, net</w:t>
      </w:r>
    </w:p>
    <w:p>
      <w:pPr>
        <w:spacing w:after="0" w:line="11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231F20"/>
        </w:rPr>
        <w:t>Total other expense, net was $7.7 million and $117.2 million for the three and six months ended June 30, 2025, respectively, reflecting increases of $6.8 million, or 764%, and $107.9 million, or 1,157%, compared to the three and six months ended June 30, 2024.</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Total other expense, net for the three months ended June 30, 2025 was primarily comprised of expense from the change in the fair value of the earnout shares liability of $7.3 million. For the six months ended June 30, 2025, total other expense, net was primarily comprised of expense from the change in the fair value of the convertible notes and warrant liabilities of $165.7 million and $60.3 million, respectively, along with $0.5 million of other expenses, offset by income from the change in the fair value of the earnout shares liability of $109.3 million.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Total other expense, net for the three months ended June 30, 2024 was primarily comprised of expense from the change in fair value of the convertible notes of $5.9 million, partially offset by income from the change in fair value of the warrant liabilities of $4.9 million. For the six months ended June 30, 2024, total other expense, net was primarily comprised of expense from the change in fair value of the convertible notes of $10.5 million, partially offset by income from the change in fair value of the warrant liabilities of $1.3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Provision for Income Taxes</w:t>
      </w:r>
    </w:p>
    <w:tbl>
      <w:tblPr>
        <w:tblLayout w:type="fixed"/>
        <w:tblInd w:w="0" w:type="dxa"/>
        <w:tblCellMar>
          <w:top w:w="0" w:type="dxa"/>
          <w:left w:w="0" w:type="dxa"/>
          <w:bottom w:w="0" w:type="dxa"/>
          <w:right w:w="0" w:type="dxa"/>
        </w:tblCellMar>
      </w:tblPr>
      <w:tr>
        <w:trPr>
          <w:trHeight w:val="155"/>
        </w:trPr>
        <w:tc>
          <w:tcPr>
            <w:tcW w:w="3080" w:type="dxa"/>
            <w:vAlign w:val="bottom"/>
          </w:tcPr>
          <w:p>
            <w:pPr>
              <w:spacing w:after="0"/>
              <w:rPr>
                <w:sz w:val="13"/>
                <w:szCs w:val="13"/>
                <w:color w:val="auto"/>
              </w:rPr>
            </w:pPr>
          </w:p>
        </w:tc>
        <w:tc>
          <w:tcPr>
            <w:tcW w:w="18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5"/>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(Amounts in thousands, except for percentages)</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00" w:type="dxa"/>
            <w:vAlign w:val="bottom"/>
            <w:shd w:val="clear" w:color="auto" w:fill="CFF0FC"/>
          </w:tcPr>
          <w:p>
            <w:pPr>
              <w:jc w:val="right"/>
              <w:ind w:right="445"/>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5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62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201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6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2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The provision for income taxes was approximately $0.0 million and $0.2 million for the three and six months ended June 30, 2025, respectively, and our effective tax rate was approximately (0.1)% and (0.1)%, respectively, as compared to approximately $0.1 million and $0.3 million of provision for income taxes, and effective tax rates of approximately (1.1)% and (1.0)%, during the three and six months ended June 30, 2024 respectively. The effective income tax rate was primarily driven by the valuation allowance which is driven by the deferred tax assets arising from capitalized research and experimental expenditures and the net operating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Loss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Net loss was approximately $29.6 million and $177.4 million for the three and six months ended June 30, 2025, respectively, compared to a net loss of approximately $12.2 million and $28.9 million for the three and six months ended June 30, 2024, respectively. The increases in net loss for the three months ended June 30, 2025 of $17.4 million comparatively was primarily attributable to an increase in stock based compensation expense of $7.2 million, an increase in professional services of $1.8 million and an increase in the change in fair value of various instruments including convertible notes, warrant liabilities, earnout and unissued shares in the respective periods of $6.6 million. The increase in net loss for the six months ended June 30, 2025 $148.5 million comparatively was primarily attributable to increase in stock based compensation expense of $9.1 million, an increase in professional services of $2.7 million and an increase in the change in fair value of various instruments including convertible notes, warrant liabilities, earnout and unissued shares in the respective periods of $107.9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231F20"/>
        </w:rPr>
        <w:t>Non-GAAP Measures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Management utilizes earnings before interest, tax, depreciation and amortization (“EBITDA”) adjusted for irregular or non-recurring items (“Adjusted EBITDA”), which are non-generally accepted accounting principles in the United States (“U.S. GAAP”) financial measures (“non-GAAP measures”), to assess performance and make resource allocation decisions across its segments. We believe these measures are valuable to management, investors and other users of our financial information. EBITDA and Adjusted EBITDA are used to evaluate operating profitability on a more variable cost basis, as these measures exclude depreciation and amortization expenses primarily to capital expenditures and acquisitions from prior periods. This facilitates a more direct comparison of our operating performance relative to competitors. Adjusted EBITDA further assists us in evaluating performance consistently across periods by excluding the impact of certain items that we believe do not directly reflect our core operations and are therefore not considered in measuring ongoing performance. Adjusted EBITDA is defined as net loss before interest, taxes, depreciation and amortization, certain non-cash items and other adjustments that are excluded from the Company's assessment of ongoing operating performance.</w:t>
      </w:r>
    </w:p>
    <w:p>
      <w:pPr>
        <w:spacing w:after="0" w:line="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It is management's intent to provide non-GAAP financial information to enhance the understanding of Blaize’s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performance. The non-GAAP financial information presented may be determined or calculated differently by other companies and may not be directly comparable to that of other companies. All non-GAAP measures presented in this Quarterly Report are reconciled to their closest reported U.S. GAAP measure. Reconciliations of historical adjusted financial measures to corresponding U.S. GAAP measures are provided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reflects our EBITDA and Adjusted EBITDA:</w:t>
      </w:r>
    </w:p>
    <w:tbl>
      <w:tblPr>
        <w:tblLayout w:type="fixed"/>
        <w:tblInd w:w="0" w:type="dxa"/>
        <w:tblCellMar>
          <w:top w:w="0" w:type="dxa"/>
          <w:left w:w="0" w:type="dxa"/>
          <w:bottom w:w="0" w:type="dxa"/>
          <w:right w:w="0" w:type="dxa"/>
        </w:tblCellMar>
      </w:tblPr>
      <w:tr>
        <w:trPr>
          <w:trHeight w:val="151"/>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right"/>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(29,589)</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(12,153)</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(17,436)</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(177,350)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(28,896)</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(148,454)</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expense/(income), net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(713)</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w:t>
            </w: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(29,408)</w:t>
            </w: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(12,471)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(16,937)</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136%</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(177,215)</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(28,570)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(148,645)</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Fair value changes and financing</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charges</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412%</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117,087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107,445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189"/>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inventory cost realignment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(519)</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06"/>
        </w:trPr>
        <w:tc>
          <w:tcPr>
            <w:tcW w:w="2740" w:type="dxa"/>
            <w:vAlign w:val="bottom"/>
            <w:tcBorders>
              <w:bottom w:val="single" w:sz="8" w:color="CFF0FC"/>
            </w:tcBorders>
            <w:shd w:val="clear" w:color="auto" w:fill="CFF0FC"/>
          </w:tcPr>
          <w:p>
            <w:pPr>
              <w:ind w:left="40"/>
              <w:spacing w:after="0" w:line="206" w:lineRule="exact"/>
              <w:rPr>
                <w:sz w:val="20"/>
                <w:szCs w:val="20"/>
                <w:color w:val="auto"/>
              </w:rPr>
            </w:pPr>
            <w:r>
              <w:rPr>
                <w:rFonts w:ascii="Times New Roman" w:cs="Times New Roman" w:eastAsia="Times New Roman" w:hAnsi="Times New Roman"/>
                <w:sz w:val="16"/>
                <w:szCs w:val="16"/>
                <w:color w:val="auto"/>
              </w:rPr>
              <w:t>Other adjustments</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1328%</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13,753</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7,415%</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(12,933)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(10,560)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(2,373)</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(28,313)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(18,087)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(10,226)</w:t>
            </w:r>
          </w:p>
        </w:tc>
        <w:tc>
          <w:tcPr>
            <w:tcW w:w="3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-145415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-145415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-145415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-145415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-145415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-145415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left="460" w:hanging="452"/>
        <w:spacing w:after="0" w:line="241" w:lineRule="auto"/>
        <w:tabs>
          <w:tab w:leader="none" w:pos="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but not limited to, legal, accounting and consulting fees incurred in connection with the Merger and the impact of other items management does not believe relate to the core operations of the business (foreign exchange gains and losses, litigation expense, etc.). Management believes these costs are not reflective of our ongoing operating performance and that excluding these costs provides a more meaningful comparison of our performance over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-301625</wp:posOffset>
            </wp:positionV>
            <wp:extent cx="18084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-301625</wp:posOffset>
            </wp:positionV>
            <wp:extent cx="18084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Since the inception of Blaize and through June 30, 2025, we have funded our operations primarily with cash flows from contributions from founders or other investors and other financing activities. We have incurred recurring losses and negative cash flows since our inception, including net losses of $29.6 million and $177.4 million for the three and six months ended June 30, 2025, respectively and $12.2 million and $28.9 million for the three and six months ended June 30, 2024, respectively. As of June 30, 2025, we had cash and cash equivalents of approximately $28.6 million, and an accumulated deficit of $606.6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Flows for the Six Months Ended June 30, 2025 and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summarizes our cash flows from operating, investing, and financing activities: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60" w:type="dxa"/>
            <w:vAlign w:val="bottom"/>
          </w:tcPr>
          <w:p>
            <w:pPr>
              <w:spacing w:after="0"/>
              <w:rPr>
                <w:sz w:val="13"/>
                <w:szCs w:val="13"/>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(32,373)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(21,626)</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(21,626)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operating activities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Net cash used in operating activities was $32.4 million during the six months ended June 30, 2025, compared to $21.6 million for the six months ended June 30, 2024. The increase in cash used was primarily due to an increase of $148.5 million in net loss, partially offset by an increase of $125.5 million in non-cash net income adjustments and an increase of $12.1 million in changes in operating assets and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For the six months ended June 30, 2025 and 2024, we used $0.7 million and $0.1 million of cash to purchase property and equipment,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increase was primarily due to the licensing of software.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financing activities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For the six months ended June 30, 2025, net cash provided by financing activities was $11.4 million, which primarily consisted of $15.9 million of proceeds from the Merger and PIPE financing, partially offset by the $4.3 million payment of deferred offering costs. Net cash provided by financing activities for the six months ended June 30, 2024 was $105.9 million and primarily consisted of $110.7 million in proceeds from the issuance of secured convertible notes under the 2023 Note Purchase Agreement, partially offset by the payment of demand notes of $4.8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Cash Requirements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As of June 30, 2025 and December 31, 2024, we had outstanding purchase orders and contractual obligations totaling $2.0 million and $0.2 million, respectively, to procure inventory. The outstanding inventory purchase orders and preauthorized commitments to procure strategic components based on our expected demand are placed with a server supplier,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June 30, 2025 and December 31, 2024, the liability balance of our accrued loss on accrued purchase commitments equaled $0.6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231F20"/>
        </w:rPr>
        <w:t>Off Balance Sheet Arrangements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As of the date of this Quarterly Report,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Currently we do not engage in off-balance sheet financing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8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Part 1. Item 1. of this Quarterly Report for a description of the significant accounting policies that we use to prepare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considered recently issued accounting pronouncements and are currently evaluating the impact the adoption of such pronouncements will have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minimal and 34% of our revenue for the three and six months ended June 30, 2025, respectively, and 1% and 44% of our revenue for the three and six months ended June 30, 2024,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and British pound, which are the local currencies of our foreign subsidiaries whose functional currency is also the US dollar. We are also exposed to movements in the Japanese Yen.</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three and six months ended June 30, 2025 and 2024, the gain and losses on foreign exchange transactions were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11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June 30, 2025 and December 31, 2024.</w:t>
      </w:r>
    </w:p>
    <w:p>
      <w:pPr>
        <w:spacing w:after="0" w:line="81" w:lineRule="exact"/>
        <w:rPr>
          <w:sz w:val="20"/>
          <w:szCs w:val="20"/>
          <w:color w:val="auto"/>
        </w:rPr>
      </w:pPr>
    </w:p>
    <w:p>
      <w:pPr>
        <w:jc w:val="both"/>
        <w:ind w:firstLine="505"/>
        <w:spacing w:after="0" w:line="282" w:lineRule="auto"/>
        <w:rPr>
          <w:sz w:val="20"/>
          <w:szCs w:val="20"/>
          <w:color w:val="auto"/>
        </w:rPr>
      </w:pPr>
      <w:r>
        <w:rPr>
          <w:rFonts w:ascii="Times New Roman" w:cs="Times New Roman" w:eastAsia="Times New Roman" w:hAnsi="Times New Roman"/>
          <w:sz w:val="18"/>
          <w:szCs w:val="18"/>
          <w:color w:val="auto"/>
        </w:rPr>
        <w:t>As of June 30, 2025, two customers, one a related party, accounted for approximately 58% and 30% of the Company's accounts receivable. As of December 31, 2024, one customer accounted for approximately 98% of our total accounts receivable.</w:t>
      </w:r>
    </w:p>
    <w:p>
      <w:pPr>
        <w:spacing w:after="0" w:line="54"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The following table presents the Company's significant customers:</w:t>
      </w:r>
    </w:p>
    <w:tbl>
      <w:tblPr>
        <w:tblLayout w:type="fixed"/>
        <w:tblInd w:w="0" w:type="dxa"/>
        <w:tblCellMar>
          <w:top w:w="0" w:type="dxa"/>
          <w:left w:w="0" w:type="dxa"/>
          <w:bottom w:w="0" w:type="dxa"/>
          <w:right w:w="0" w:type="dxa"/>
        </w:tblCellMar>
      </w:tblPr>
      <w:tr>
        <w:trPr>
          <w:trHeight w:val="156"/>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00" w:type="dxa"/>
            <w:vAlign w:val="bottom"/>
            <w:tcBorders>
              <w:bottom w:val="single" w:sz="8" w:color="auto"/>
            </w:tcBorders>
            <w:gridSpan w:val="4"/>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8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 (See Note 15)</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B (See Note 15)</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C (See Note 15)</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Customer D</w:t>
            </w:r>
          </w:p>
        </w:tc>
        <w:tc>
          <w:tcPr>
            <w:tcW w:w="820" w:type="dxa"/>
            <w:vAlign w:val="bottom"/>
          </w:tcPr>
          <w:p>
            <w:pPr>
              <w:spacing w:after="0"/>
              <w:rPr>
                <w:sz w:val="16"/>
                <w:szCs w:val="16"/>
                <w:color w:val="auto"/>
              </w:rPr>
            </w:pPr>
          </w:p>
        </w:tc>
        <w:tc>
          <w:tcPr>
            <w:tcW w:w="60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E</w:t>
            </w: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less than 10% of the Company’s revenue for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2" w:name="page43"/>
    <w:bookmarkEnd w:id="42"/>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June 30, 2025, the material weaknesses of the combined entity were remediated by the Company, as described below.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June 30,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 Identified Material Weaknesses</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Prior to the completion of the Business Combination on January 13, 2025, BurTech identified certain material weaknesses in its internal control over financial reporting. These material weaknesses primarily related to:</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of penalties and interest on excise tax payable; 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funds from the Trust Account as of December 31, 2024.</w:t>
      </w:r>
    </w:p>
    <w:p>
      <w:pPr>
        <w:spacing w:after="0" w:line="6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Business Combination, management undertook and completed several remediation actions to address the previously identified material weaknesses. These actions included:</w:t>
      </w:r>
    </w:p>
    <w:p>
      <w:pPr>
        <w:spacing w:after="0" w:line="54" w:lineRule="exact"/>
        <w:rPr>
          <w:sz w:val="20"/>
          <w:szCs w:val="20"/>
          <w:color w:val="auto"/>
        </w:rPr>
      </w:pPr>
    </w:p>
    <w:p>
      <w:pPr>
        <w:ind w:left="1020" w:right="920" w:hanging="503"/>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accounting and finance employees and contractors with appropriate expertise in U.S. GAAP and SEC reporting requirements;</w:t>
      </w:r>
    </w:p>
    <w:p>
      <w:pPr>
        <w:spacing w:after="0" w:line="1"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Blaize's accounting policies and internal control procedures across the combined entity;</w:t>
      </w:r>
    </w:p>
    <w:p>
      <w:pPr>
        <w:spacing w:after="0" w:line="6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combined entity's financial close processes to ensure more robust documentation practices; and</w:t>
      </w:r>
    </w:p>
    <w:p>
      <w:pPr>
        <w:spacing w:after="0" w:line="6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Blaize's systems and tools to support internal control activities and documentation across the combined entity.</w:t>
      </w:r>
    </w:p>
    <w:p>
      <w:pPr>
        <w:spacing w:after="0" w:line="63"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auto"/>
        </w:rPr>
        <w:t>As of June 30, 2025, management has concluded that the material weaknesses identified in BurTech’s internal control over financial reporting have been remediated based on the successful implementation and sustained operation of these enhanced controls for a sufficient period of time across the combined entity and management’s testing of the effectiveness of these implemented controls.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the changes described above relating to our remediation steps, there have not been any changes in our internal control over financial reporting (as such term is defined in Rules 13a-15(f) and 15d-15(f) under the Exchange Act) that occurred during the six months ended June 30,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1178560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67"/>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litigation or other legal proceedings. See Note 14 of the Notes to the Condensed Consolidated Financial Statements in Item 1. Financial Statements (unaudited) of Part I of this Quarterly Report, which is incorporated by reference in this Item 1, for additional information regarding </w:t>
      </w:r>
      <w:r>
        <w:rPr>
          <w:rFonts w:ascii="Times New Roman" w:cs="Times New Roman" w:eastAsia="Times New Roman" w:hAnsi="Times New Roman"/>
          <w:sz w:val="18"/>
          <w:szCs w:val="18"/>
          <w:i w:val="1"/>
          <w:iCs w:val="1"/>
          <w:color w:val="auto"/>
        </w:rPr>
        <w:t>Jefferies LLC vs. Blaize Holdings, Inc</w:t>
      </w:r>
      <w:r>
        <w:rPr>
          <w:rFonts w:ascii="Times New Roman" w:cs="Times New Roman" w:eastAsia="Times New Roman" w:hAnsi="Times New Roman"/>
          <w:sz w:val="18"/>
          <w:szCs w:val="18"/>
          <w:color w:val="auto"/>
        </w:rPr>
        <w:t>.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67"/>
        <w:spacing w:after="0" w:line="282"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1, Item 1A of our Annual Report on Form 10-K for the year ended December 31, 2024, filed with the SEC on April 15,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and our joint ventures’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7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7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4" w:name="page45"/>
    <w:bookmarkEnd w:id="4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a fabless company, Blaize does not manufacture its own semiconductor or System-on-a-Chip (“SoC”) products and currently relies on third-party manufacturers, including Samsung Foundry and Plexus, to produce our products. Additionally, Blaize has a design, manufacturing and sales agreement with VeriSilicon, Inc. (“VeriSilicon”) that provides Blaize with design expertise, support and assistance, and certain deliverables, prototypes, products and services from VeriSilicon. Blaize cannot be sure that these manufacturers will remain in business, or that they will not be purchased by one of Blaize’s competitors or another company that is not interested in continuing to produce these products for Blaize’s intended purpose.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reliance on these third-party manufacturers subjects us to a number of risks that include, among other things:</w:t>
      </w:r>
    </w:p>
    <w:p>
      <w:pPr>
        <w:spacing w:after="0" w:line="117" w:lineRule="exact"/>
        <w:rPr>
          <w:sz w:val="20"/>
          <w:szCs w:val="20"/>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Blaize’s;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reasons outside Blaize’s control;</w:t>
      </w:r>
    </w:p>
    <w:p>
      <w:pPr>
        <w:spacing w:after="0" w:line="63" w:lineRule="exact"/>
        <w:rPr>
          <w:rFonts w:ascii="Times New Roman" w:cs="Times New Roman" w:eastAsia="Times New Roman" w:hAnsi="Times New Roman"/>
          <w:sz w:val="18"/>
          <w:szCs w:val="18"/>
          <w:color w:val="auto"/>
        </w:rPr>
      </w:pPr>
    </w:p>
    <w:p>
      <w:pPr>
        <w:ind w:left="900" w:hanging="443"/>
        <w:spacing w:after="0" w:line="28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Blaize’s manufacturers’ plants are located, such as changes in China-Taiwan relations that may adversely affect Blaize’s manufacturers’ and suppliers’ operations;</w:t>
      </w:r>
    </w:p>
    <w:p>
      <w:pPr>
        <w:spacing w:after="0" w:line="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Although Blaize’s semiconductor or SoC products could be produced by other manufacturers, any attempt to transition our supply arrangement to one or more other manufacturers could entail significant coordination and expense and could lead to delays in production. If Blaize is unable to arrange for sufficient production capacity among our contract manufacturers or if our contract manufacturers encounter production, quality, financial, or other difficulties, Blaize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Blaize’s and its customers’ specifications. Any disruption in supply from any supplier or manufacturing location could lead to supply delays or interruptions that could damage Blaize’s business or financial condition. If any of the risks discussed above materialize, costs could significantly increase, and Blaize’s ability to meet demand for its products could be impacted.</w:t>
      </w:r>
    </w:p>
    <w:p>
      <w:pPr>
        <w:spacing w:after="0" w:line="8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cannot predict what additional actions, if any, may be taken with respect to tariffs or trade relations between the United States and China, what products may be subject to such actions, or what actions may be taken by the China in retaliation. The adoption and expansion of trade restrictions, the occurrence of a trade war, or other governmental action related to tariffs, trade agreements or related policies have the potential to adversely impact our supply chain and access to equipment, our costs and our product margins. The additional tariffs imposed on components or equipment that we source from China will increase our costs and could have an adverse impact on our operating results and financial conditions in future periods. Blaize's supply chain and product assembly is global in nature. While most of the goods movement, including imports and exports, required to manufacture and test Blaize products are restricted to Asian countries, there are certain components that must enter or exit the US. Those components are at the highest risk of being affected by the aforementioned changes, and in turn disrupting the supply chain and Blaize's products pipeline.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select number of customers for a significant portion of our revenue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As of June 30, 2025, two customers, one a related party, accounted for approximately 58% and 30% of the Company's accounts receivable. As of December 31, 2024, one customer accounted for approximately 98% of the Company's total accounts receivable. This customer concentration exposes us to a material adverse effect if any of these significant customers were to significantly reduce purchases for any reason or favor competitors or new market participants, and we can provide no assurance that any of these customers or any of our other customers will continue to utilize our products or our services at current levels. Our customer concentration may also subject us to perceived or actual bargaining leverage that our key customers may have, given their importance to us. If our key customers seek to negotiate their agreements on terms less favorable to us and we accept such unfavorable terms, such unfavorable terms may have a material adverse effect on our business, results of operations and financial condition. Furthermore, industry consolidation and company failures could decrease the number of potential significant customers for our products and services. The decrease in the number of potential significant customers will increase our reliance on key customers and, due to the relative importance to us, may negatively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impact our bargaining position and thus our profit margins. If we were to lose one of our key customers or have a key customer cancel a key program or otherwise significantly reduce its volume of business with us or fail to pay us in full for the goods or services purchased from us, our sales and profitability would be materially reduced and our business and financial condition would be seriously harmed.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and Use of Proceeds.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tab/>
        <w:t>Recent Sales of Unregistered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May 8, 2025, the Company issued an aggregate of 9,306 shares of common stock to Roth Capital Partners, LLC (“Roth”) in a private placement under the Securities Act in connection with that certain Letter Agreement, dated December 23, 2024, by and between the Company and Roth.</w:t>
      </w:r>
    </w:p>
    <w:p>
      <w:pPr>
        <w:spacing w:after="0" w:line="50" w:lineRule="exact"/>
        <w:rPr>
          <w:sz w:val="20"/>
          <w:szCs w:val="20"/>
          <w:color w:val="auto"/>
        </w:rPr>
      </w:pPr>
    </w:p>
    <w:p>
      <w:pPr>
        <w:ind w:left="460" w:right="9640" w:hanging="452"/>
        <w:spacing w:after="0" w:line="375" w:lineRule="auto"/>
        <w:tabs>
          <w:tab w:leader="none" w:pos="3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60" w:right="7800" w:hanging="452"/>
        <w:spacing w:after="0" w:line="375" w:lineRule="auto"/>
        <w:tabs>
          <w:tab w:leader="none" w:pos="38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Repurchases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Insider Adoption or Termination of Trading Arrangements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 director or officer adopted or terminated a trading arrangement for the purchase of Company securities for the quarterly period ended June 30, 2025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7640" w:type="dxa"/>
            <w:vAlign w:val="bottom"/>
            <w:gridSpan w:val="30"/>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64"/>
        </w:trPr>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592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Third Amended and Restated Certificate of Incorporation of Blaize Holdings, Inc.</w:t>
              </w:r>
            </w:hyperlink>
          </w:p>
        </w:tc>
        <w:tc>
          <w:tcPr>
            <w:tcW w:w="17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7640" w:type="dxa"/>
            <w:vAlign w:val="bottom"/>
            <w:gridSpan w:val="30"/>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Amended and Restated Bylaws of Blaize Holdings, Inc.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74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Registration Rights Agreement, dated as of January 13, 2025, by and among the Company and certain</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stockholders of Legacy Blaize named therein.</w:t>
              </w:r>
            </w:hyperlink>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Amended and Restated Registration Rights Agreement, dated as of January 13, 2025, by and among the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73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Company, certain stockholders of BurTech named therein and certain stockholders of Legacy Blaize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named therein.</w:t>
              </w:r>
            </w:hyperlink>
          </w:p>
        </w:tc>
        <w:tc>
          <w:tcPr>
            <w:tcW w:w="65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6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79">
              <w:r>
                <w:rPr>
                  <w:rFonts w:ascii="Times New Roman" w:cs="Times New Roman" w:eastAsia="Times New Roman" w:hAnsi="Times New Roman"/>
                  <w:sz w:val="18"/>
                  <w:szCs w:val="18"/>
                  <w:color w:val="0000FF"/>
                  <w:w w:val="99"/>
                </w:rPr>
                <w:t>Form of Indemnification Agreement.</w:t>
              </w:r>
            </w:hyperlink>
          </w:p>
        </w:tc>
        <w:tc>
          <w:tcPr>
            <w:tcW w:w="4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Form of PIPE Subscription Agreement</w:t>
              </w:r>
            </w:hyperlink>
          </w:p>
        </w:tc>
        <w:tc>
          <w:tcPr>
            <w:tcW w:w="4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5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Stockholder Lock-Up Agreement, dated as of January 13, 2025, by and among the Company and certain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stockholders of Legacy Blaize named therein.</w:t>
              </w:r>
            </w:hyperlink>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7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Noteholder Lock-Up Agreement, dated as of January 13, 2025, by and among the Company and certain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00" w:type="dxa"/>
            <w:vAlign w:val="bottom"/>
            <w:gridSpan w:val="13"/>
            <w:vMerge w:val="restart"/>
          </w:tcPr>
          <w:p>
            <w:pPr>
              <w:spacing w:after="0" w:line="196"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securityholders of Legacy Blaize named therein.</w:t>
              </w:r>
            </w:hyperlink>
          </w:p>
        </w:tc>
        <w:tc>
          <w:tcPr>
            <w:tcW w:w="414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00" w:type="dxa"/>
            <w:vAlign w:val="bottom"/>
            <w:tcBorders>
              <w:bottom w:val="single" w:sz="8" w:color="0000FF"/>
            </w:tcBorders>
            <w:gridSpan w:val="13"/>
            <w:vMerge w:val="continue"/>
          </w:tcPr>
          <w:p>
            <w:pPr>
              <w:spacing w:after="0"/>
              <w:rPr>
                <w:sz w:val="5"/>
                <w:szCs w:val="5"/>
                <w:color w:val="auto"/>
              </w:rPr>
            </w:pPr>
          </w:p>
        </w:tc>
        <w:tc>
          <w:tcPr>
            <w:tcW w:w="414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7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Secured Promissory Note and Pledge Agreement, dated as of January 13, 2025, by and among BurTech</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LP LLC and BurTech.</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70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Letter Agreement, dated as of January 13, 2025, by and among BurTech, Merger Sub, Blaize and</w:t>
              </w:r>
            </w:hyperlink>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gridSpan w:val="7"/>
            <w:vMerge w:val="restart"/>
          </w:tcPr>
          <w:p>
            <w:pPr>
              <w:spacing w:after="0" w:line="196" w:lineRule="exact"/>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Burkhan BurTech LP LLC and Blaize.</w:t>
              </w:r>
            </w:hyperlink>
          </w:p>
        </w:tc>
        <w:tc>
          <w:tcPr>
            <w:tcW w:w="4840" w:type="dxa"/>
            <w:vAlign w:val="bottom"/>
            <w:gridSpan w:val="2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tcBorders>
              <w:bottom w:val="single" w:sz="8" w:color="0000FF"/>
            </w:tcBorders>
            <w:gridSpan w:val="7"/>
            <w:vMerge w:val="continue"/>
          </w:tcPr>
          <w:p>
            <w:pPr>
              <w:spacing w:after="0"/>
              <w:rPr>
                <w:sz w:val="5"/>
                <w:szCs w:val="5"/>
                <w:color w:val="auto"/>
              </w:rPr>
            </w:pPr>
          </w:p>
        </w:tc>
        <w:tc>
          <w:tcPr>
            <w:tcW w:w="484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68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Amended and Restated Blaize Holdings, Inc. Non-Employee Director Compensation Program.</w:t>
              </w:r>
            </w:hyperlink>
          </w:p>
        </w:tc>
        <w:tc>
          <w:tcPr>
            <w:tcW w:w="8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74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of Stock Option Grant Agreement (Contingent Exercise) and Grant Notice under the Blaize, Inc.</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Amended and Restated 2011 Stock Plan.</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73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Common Stock Purchase Agreement, dated as of July 14, 2025, by and between the Company and B.</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5"/>
            <w:vMerge w:val="restart"/>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Riley Principal Capital II, LLC.</w:t>
              </w:r>
            </w:hyperlink>
          </w:p>
        </w:tc>
        <w:tc>
          <w:tcPr>
            <w:tcW w:w="5340" w:type="dxa"/>
            <w:vAlign w:val="bottom"/>
            <w:gridSpan w:val="2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Borders>
              <w:bottom w:val="single" w:sz="8" w:color="0000FF"/>
            </w:tcBorders>
            <w:gridSpan w:val="5"/>
            <w:vMerge w:val="continue"/>
          </w:tcPr>
          <w:p>
            <w:pPr>
              <w:spacing w:after="0"/>
              <w:rPr>
                <w:sz w:val="5"/>
                <w:szCs w:val="5"/>
                <w:color w:val="auto"/>
              </w:rPr>
            </w:pPr>
          </w:p>
        </w:tc>
        <w:tc>
          <w:tcPr>
            <w:tcW w:w="534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17"/>
                <w:szCs w:val="17"/>
                <w:color w:val="auto"/>
              </w:rPr>
            </w:pPr>
          </w:p>
        </w:tc>
        <w:tc>
          <w:tcPr>
            <w:tcW w:w="7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Registration Rights Agreement, dated as of July 14, 2025, by and between the Company and B. Riley</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4"/>
            <w:vMerge w:val="restart"/>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Principal Capital II, LLC.</w:t>
              </w:r>
            </w:hyperlink>
          </w:p>
        </w:tc>
        <w:tc>
          <w:tcPr>
            <w:tcW w:w="5780" w:type="dxa"/>
            <w:vAlign w:val="bottom"/>
            <w:gridSpan w:val="2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tcBorders>
              <w:bottom w:val="single" w:sz="8" w:color="0000FF"/>
            </w:tcBorders>
            <w:gridSpan w:val="4"/>
            <w:vMerge w:val="continue"/>
          </w:tcPr>
          <w:p>
            <w:pPr>
              <w:spacing w:after="0"/>
              <w:rPr>
                <w:sz w:val="5"/>
                <w:szCs w:val="5"/>
                <w:color w:val="auto"/>
              </w:rPr>
            </w:pPr>
          </w:p>
        </w:tc>
        <w:tc>
          <w:tcPr>
            <w:tcW w:w="578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17"/>
                <w:szCs w:val="17"/>
                <w:color w:val="auto"/>
              </w:rPr>
            </w:pPr>
          </w:p>
        </w:tc>
        <w:tc>
          <w:tcPr>
            <w:tcW w:w="76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Sales Partner Referral Agreement, dated as of June 30, 2025, by and between the Company and Burkhan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restart"/>
          </w:tcPr>
          <w:p>
            <w:pPr>
              <w:spacing w:after="0" w:line="196" w:lineRule="exact"/>
              <w:rPr>
                <w:rFonts w:ascii="Times New Roman" w:cs="Times New Roman" w:eastAsia="Times New Roman" w:hAnsi="Times New Roman"/>
                <w:sz w:val="18"/>
                <w:szCs w:val="18"/>
                <w:color w:val="0000FF"/>
                <w:w w:val="98"/>
              </w:rPr>
            </w:pPr>
            <w:hyperlink r:id="rId389">
              <w:r>
                <w:rPr>
                  <w:rFonts w:ascii="Times New Roman" w:cs="Times New Roman" w:eastAsia="Times New Roman" w:hAnsi="Times New Roman"/>
                  <w:sz w:val="18"/>
                  <w:szCs w:val="18"/>
                  <w:color w:val="0000FF"/>
                  <w:w w:val="98"/>
                </w:rPr>
                <w:t>LLC.</w:t>
              </w:r>
            </w:hyperlink>
          </w:p>
        </w:tc>
        <w:tc>
          <w:tcPr>
            <w:tcW w:w="7240" w:type="dxa"/>
            <w:vAlign w:val="bottom"/>
            <w:gridSpan w:val="2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0000FF"/>
            </w:tcBorders>
            <w:vMerge w:val="continue"/>
          </w:tcPr>
          <w:p>
            <w:pPr>
              <w:spacing w:after="0"/>
              <w:rPr>
                <w:sz w:val="5"/>
                <w:szCs w:val="5"/>
                <w:color w:val="auto"/>
              </w:rPr>
            </w:pPr>
          </w:p>
        </w:tc>
        <w:tc>
          <w:tcPr>
            <w:tcW w:w="724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70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w:t>
            </w: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tcBorders>
              <w:bottom w:val="single" w:sz="8" w:color="0000FF"/>
            </w:tcBorders>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69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w:t>
            </w:r>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tcBorders>
              <w:bottom w:val="single" w:sz="8" w:color="0000FF"/>
            </w:tcBorders>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32.1#**</w:t>
            </w:r>
          </w:p>
        </w:tc>
        <w:tc>
          <w:tcPr>
            <w:tcW w:w="120" w:type="dxa"/>
            <w:vAlign w:val="bottom"/>
          </w:tcPr>
          <w:p>
            <w:pPr>
              <w:spacing w:after="0"/>
              <w:rPr>
                <w:sz w:val="17"/>
                <w:szCs w:val="17"/>
                <w:color w:val="auto"/>
              </w:rPr>
            </w:pPr>
          </w:p>
        </w:tc>
        <w:tc>
          <w:tcPr>
            <w:tcW w:w="754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80" w:type="dxa"/>
            <w:vAlign w:val="bottom"/>
            <w:gridSpan w:val="1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160" w:type="dxa"/>
            <w:vAlign w:val="bottom"/>
            <w:gridSpan w:val="1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80" w:type="dxa"/>
            <w:vAlign w:val="bottom"/>
            <w:tcBorders>
              <w:bottom w:val="single" w:sz="8" w:color="0000FF"/>
            </w:tcBorders>
            <w:gridSpan w:val="12"/>
            <w:vMerge w:val="continue"/>
          </w:tcPr>
          <w:p>
            <w:pPr>
              <w:spacing w:after="0"/>
              <w:rPr>
                <w:sz w:val="5"/>
                <w:szCs w:val="5"/>
                <w:color w:val="auto"/>
              </w:rPr>
            </w:pPr>
          </w:p>
        </w:tc>
        <w:tc>
          <w:tcPr>
            <w:tcW w:w="416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32.2#**</w:t>
            </w:r>
          </w:p>
        </w:tc>
        <w:tc>
          <w:tcPr>
            <w:tcW w:w="120" w:type="dxa"/>
            <w:vAlign w:val="bottom"/>
          </w:tcPr>
          <w:p>
            <w:pPr>
              <w:spacing w:after="0"/>
              <w:rPr>
                <w:sz w:val="17"/>
                <w:szCs w:val="17"/>
                <w:color w:val="auto"/>
              </w:rPr>
            </w:pPr>
          </w:p>
        </w:tc>
        <w:tc>
          <w:tcPr>
            <w:tcW w:w="75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w:t>
            </w: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40" w:type="dxa"/>
            <w:vAlign w:val="bottom"/>
            <w:gridSpan w:val="30"/>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4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11"/>
            <w:shd w:val="clear" w:color="auto" w:fill="0000FF"/>
          </w:tcPr>
          <w:p>
            <w:pPr>
              <w:spacing w:after="0" w:line="20" w:lineRule="exact"/>
              <w:rPr>
                <w:sz w:val="1"/>
                <w:szCs w:val="1"/>
                <w:color w:val="auto"/>
              </w:rPr>
            </w:pPr>
          </w:p>
        </w:tc>
        <w:tc>
          <w:tcPr>
            <w:tcW w:w="41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76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4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40" w:type="dxa"/>
            <w:vAlign w:val="bottom"/>
            <w:gridSpan w:val="3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76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0"/>
                <w:szCs w:val="20"/>
                <w:color w:val="auto"/>
              </w:rPr>
            </w:pPr>
          </w:p>
        </w:tc>
        <w:tc>
          <w:tcPr>
            <w:tcW w:w="76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274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74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274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274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274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74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-5222875</wp:posOffset>
            </wp:positionV>
            <wp:extent cx="7132320" cy="148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09"/>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540"/>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1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1/8/2025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10.7</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5/14/2025</w:t>
            </w:r>
          </w:p>
        </w:tc>
        <w:tc>
          <w:tcPr>
            <w:tcW w:w="0" w:type="dxa"/>
            <w:vAlign w:val="bottom"/>
          </w:tcPr>
          <w:p>
            <w:pPr>
              <w:spacing w:after="0"/>
              <w:rPr>
                <w:sz w:val="1"/>
                <w:szCs w:val="1"/>
                <w:color w:val="auto"/>
              </w:rPr>
            </w:pPr>
          </w:p>
        </w:tc>
      </w:tr>
      <w:tr>
        <w:trPr>
          <w:trHeight w:val="324"/>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7/15/2025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7/15/2025</w:t>
            </w: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6/30/2025</w:t>
            </w:r>
          </w:p>
        </w:tc>
        <w:tc>
          <w:tcPr>
            <w:tcW w:w="0" w:type="dxa"/>
            <w:vAlign w:val="bottom"/>
          </w:tcPr>
          <w:p>
            <w:pPr>
              <w:spacing w:after="0"/>
              <w:rPr>
                <w:sz w:val="1"/>
                <w:szCs w:val="1"/>
                <w:color w:val="auto"/>
              </w:rPr>
            </w:pPr>
          </w:p>
        </w:tc>
      </w:tr>
    </w:tbl>
    <w:p>
      <w:pPr>
        <w:spacing w:after="0" w:line="2730" w:lineRule="exact"/>
        <w:rPr>
          <w:sz w:val="20"/>
          <w:szCs w:val="20"/>
          <w:color w:val="auto"/>
        </w:rPr>
      </w:pPr>
    </w:p>
    <w:p>
      <w:pPr>
        <w:sectPr>
          <w:pgSz w:w="11900" w:h="16838" w:orient="portrait"/>
          <w:cols w:equalWidth="0" w:num="2">
            <w:col w:w="8560" w:space="120"/>
            <w:col w:w="2560"/>
          </w:cols>
          <w:pgMar w:left="320" w:top="1224" w:right="339" w:bottom="1440" w:gutter="0" w:footer="0" w:header="0"/>
        </w:sect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42"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42" w:lineRule="exact"/>
        <w:rPr>
          <w:sz w:val="20"/>
          <w:szCs w:val="20"/>
          <w:color w:val="auto"/>
        </w:rPr>
      </w:pPr>
    </w:p>
    <w:p>
      <w:pPr>
        <w:ind w:left="380" w:hanging="372"/>
        <w:spacing w:after="0" w:line="236" w:lineRule="auto"/>
        <w:tabs>
          <w:tab w:leader="none" w:pos="26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3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Quarterly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tc>
      </w:tr>
      <w:tr>
        <w:trPr>
          <w:trHeight w:val="54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82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tc>
      </w:tr>
      <w:tr>
        <w:trPr>
          <w:trHeight w:val="1438"/>
        </w:trPr>
        <w:tc>
          <w:tcPr>
            <w:tcW w:w="30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375" Type="http://schemas.openxmlformats.org/officeDocument/2006/relationships/hyperlink" Target="https://www.sec.gov/Archives/edgar/data/1871638/000119312525008517/d903961dex31.htm" TargetMode="External"/><Relationship Id="rId376" Type="http://schemas.openxmlformats.org/officeDocument/2006/relationships/hyperlink" Target="https://www.sec.gov/Archives/edgar/data/1871638/000119312525008517/d903961dex32.htm" TargetMode="External"/><Relationship Id="rId377" Type="http://schemas.openxmlformats.org/officeDocument/2006/relationships/hyperlink" Target="https://www.sec.gov/Archives/edgar/data/1871638/000119312525008517/d903961dex1011.htm" TargetMode="External"/><Relationship Id="rId378" Type="http://schemas.openxmlformats.org/officeDocument/2006/relationships/hyperlink" Target="https://www.sec.gov/Archives/edgar/data/1871638/000119312525008517/d903961dex101.htm" TargetMode="External"/><Relationship Id="rId379" Type="http://schemas.openxmlformats.org/officeDocument/2006/relationships/hyperlink" Target="https://www.sec.gov/Archives/edgar/data/1871638/000119312525008517/d903961dex103.htm" TargetMode="External"/><Relationship Id="rId380" Type="http://schemas.openxmlformats.org/officeDocument/2006/relationships/hyperlink" Target="https://www.sec.gov/Archives/edgar/data/1871638/000110465925001763/tm252173d1_ex10-1.htm" TargetMode="External"/><Relationship Id="rId381" Type="http://schemas.openxmlformats.org/officeDocument/2006/relationships/hyperlink" Target="https://www.sec.gov/Archives/edgar/data/1871638/000119312525008517/d903961dex1012.htm" TargetMode="External"/><Relationship Id="rId382" Type="http://schemas.openxmlformats.org/officeDocument/2006/relationships/hyperlink" Target="https://www.sec.gov/Archives/edgar/data/1871638/000119312525008517/d903961dex1013.htm" TargetMode="External"/><Relationship Id="rId383" Type="http://schemas.openxmlformats.org/officeDocument/2006/relationships/hyperlink" Target="https://www.sec.gov/Archives/edgar/data/1871638/000119312525008517/d903961dex1014.htm" TargetMode="External"/><Relationship Id="rId384" Type="http://schemas.openxmlformats.org/officeDocument/2006/relationships/hyperlink" Target="https://www.sec.gov/Archives/edgar/data/1871638/000119312525008517/d903961dex1015.htm" TargetMode="External"/><Relationship Id="rId385" Type="http://schemas.openxmlformats.org/officeDocument/2006/relationships/hyperlink" Target="https://www.sec.gov/Archives/edgar/data/1871638/000119312525008517/d903961dex1021.htm" TargetMode="External"/><Relationship Id="rId386" Type="http://schemas.openxmlformats.org/officeDocument/2006/relationships/hyperlink" Target="https://www.sec.gov/Archives/edgar/data/1871638/000119312525008517/d903961dex1022.htm" TargetMode="External"/><Relationship Id="rId387" Type="http://schemas.openxmlformats.org/officeDocument/2006/relationships/hyperlink" Target="https://www.sec.gov/Archives/edgar/data/1871638/000119312525158997/d13627dex101.htm" TargetMode="External"/><Relationship Id="rId388" Type="http://schemas.openxmlformats.org/officeDocument/2006/relationships/hyperlink" Target="https://www.sec.gov/Archives/edgar/data/1871638/000119312525158997/d13627dex102.htm" TargetMode="External"/><Relationship Id="rId389" Type="http://schemas.openxmlformats.org/officeDocument/2006/relationships/hyperlink" Target="https://www.sec.gov/Archives/edgar/data/1871638/000119312525152119/d8686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2025-08-19T05:41:42Z</dcterms:created>
  <dcterms:modified xsi:type="dcterms:W3CDTF">2025-08-19T05:41:42Z</dcterms:modified>
</cp:coreProperties>
</file>