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3799840</wp:posOffset>
            </wp:positionH>
            <wp:positionV relativeFrom="page">
              <wp:posOffset>311785</wp:posOffset>
            </wp:positionV>
            <wp:extent cx="247713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7135" cy="342900"/>
                    </a:xfrm>
                    <a:prstGeom prst="rect">
                      <a:avLst/>
                    </a:prstGeom>
                    <a:noFill/>
                  </pic:spPr>
                </pic:pic>
              </a:graphicData>
            </a:graphic>
          </wp:anchor>
        </w:drawing>
        <w:t>Norton Rose Fulbright US LLP</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7"/>
          <w:szCs w:val="17"/>
          <w:color w:val="auto"/>
        </w:rPr>
        <w:t>New York, NY 10019-6022 United States</w:t>
      </w:r>
    </w:p>
    <w:p>
      <w:pPr>
        <w:spacing w:after="0" w:line="21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 line +1 212-318-3168</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Rajiv.Khanna</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Tel +1 212 318 3000</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Fax +1 212 408 5100</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Division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Corporation Finance Office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066"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Sarah Sidwell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Geoffrey Kruczek</w:t>
      </w:r>
    </w:p>
    <w:p>
      <w:pPr>
        <w:spacing w:after="0" w:line="200" w:lineRule="exact"/>
        <w:rPr>
          <w:sz w:val="24"/>
          <w:szCs w:val="24"/>
          <w:color w:val="auto"/>
        </w:rPr>
      </w:pPr>
    </w:p>
    <w:p>
      <w:pPr>
        <w:sectPr>
          <w:pgSz w:w="11900" w:h="16838" w:orient="portrait"/>
          <w:cols w:equalWidth="0" w:num="2">
            <w:col w:w="740" w:space="400"/>
            <w:col w:w="10100"/>
          </w:cols>
          <w:pgMar w:left="320" w:top="1066" w:right="3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3 to Registration Statement on Form S-4 Filed on October 30,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333-280889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Comment Letter dated November 8, 2024</w:t>
      </w:r>
    </w:p>
    <w:p>
      <w:pPr>
        <w:spacing w:after="0" w:line="200" w:lineRule="exact"/>
        <w:rPr>
          <w:sz w:val="24"/>
          <w:szCs w:val="24"/>
          <w:color w:val="auto"/>
        </w:rPr>
      </w:pPr>
    </w:p>
    <w:p>
      <w:pPr>
        <w:sectPr>
          <w:pgSz w:w="11900" w:h="16838" w:orient="portrait"/>
          <w:cols w:equalWidth="0" w:num="2">
            <w:col w:w="420" w:space="720"/>
            <w:col w:w="10100"/>
          </w:cols>
          <w:pgMar w:left="320" w:top="1066"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Sidwell and Mr. Kruczek:</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behalf of BurTech Acquisition Corp. (“BurTech”, the “Registrant”, or the “Company”) and Blaize, Inc. (the “Co-Registrant”), we are submitting via EDGAR for review by the Securities and Exchange Commission (the “Commission”) this response letter and the accompanying Amendment No. 4 (including certain exhibits) (“Amendment No. 4”) to the above-referenced Amendment No. 3 to Registration Statement on Form S-4 filed by the Registrant and Co-Registrant on October 30, 2024 (the “Registration Statement”). This letter and Amendment No. 4 reflect the Registrant’s respectful acknowledgement and response to the comments received from the staff of the Commission (the “Staff”) regarding the Registration Statement contained in the Staff’s letter dated November 8, 2024 (the “Comment Letter”), and certain other updated information. For your convenience, we are providing to the Staff a supplemental typeset copy of Amendment No. 4 marked to indicate the changes from the Registration Statement.</w:t>
      </w:r>
    </w:p>
    <w:p>
      <w:pPr>
        <w:spacing w:after="0" w:line="18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Staff’s comments as reflected in the Comment Letter are reproduced in italics in this letter, and the corresponding responses of the Registrant and Co-Registrant are shown below each comment. All references to page numbers in the responses herein are to the page numbers in Amendment No. 4.</w:t>
      </w:r>
    </w:p>
    <w:p>
      <w:pPr>
        <w:spacing w:after="0" w:line="162" w:lineRule="exact"/>
        <w:rPr>
          <w:sz w:val="24"/>
          <w:szCs w:val="24"/>
          <w:color w:val="auto"/>
        </w:rPr>
      </w:pPr>
    </w:p>
    <w:p>
      <w:pPr>
        <w:ind w:right="5180"/>
        <w:spacing w:after="0" w:line="282" w:lineRule="auto"/>
        <w:rPr>
          <w:sz w:val="20"/>
          <w:szCs w:val="20"/>
          <w:color w:val="auto"/>
        </w:rPr>
      </w:pPr>
      <w:r>
        <w:rPr>
          <w:rFonts w:ascii="Times New Roman" w:cs="Times New Roman" w:eastAsia="Times New Roman" w:hAnsi="Times New Roman"/>
          <w:sz w:val="18"/>
          <w:szCs w:val="18"/>
          <w:u w:val="single" w:color="auto"/>
          <w:color w:val="auto"/>
        </w:rPr>
        <w:t>Amendment No. 3 to Registration Statement on Form S-4 filed on October 30, 2024 General</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 is a limited liability partnership registered under the laws of Texas.</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5" w:lineRule="exact"/>
        <w:rPr>
          <w:sz w:val="20"/>
          <w:szCs w:val="20"/>
          <w:color w:val="auto"/>
        </w:rPr>
      </w:pPr>
    </w:p>
    <w:p>
      <w:pPr>
        <w:jc w:val="both"/>
        <w:ind w:left="660" w:hanging="301"/>
        <w:spacing w:after="0" w:line="26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disclosures added on page 142 regarding the engagements of Jefferies and KeyBanc to serve as "strategic advisors" in connection with the business combination and that their fees are payable upon closing of the transaction . Please revise to explain in greater detail the nature of services each has rendered and will render in its engagement as "strategic advisor." File the related agreements as exhibits.</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37, 141, 175 and 176 of Amendment No. 4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comment. Further, the Company respectfully advises the Staff that the engagement letters are not required to be filed as exhibits to the registration statement pursuant to Item 601 of Regulation S-K. The letters are not underwriting agreements or agreements with a principal underwriter that would be required to be filed pursuant to Item 601(b)(1) of Regulation S-K nor are they material in the Company's view and therefore are not otherwise required to be filed pursuant to Item 601(b)(10)(i) of Regulation S-K. There is nothing in the engagement letters with Jefferies and KeyBanc that are material to an understanding of the Company's business and the Company has revised the disclosure in Amendment No. 4 to include all material terms contained within each engagement letter for the benefit of investors.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ind w:right="4580"/>
        <w:spacing w:after="0" w:line="260" w:lineRule="auto"/>
        <w:rPr>
          <w:sz w:val="20"/>
          <w:szCs w:val="20"/>
          <w:color w:val="auto"/>
        </w:rPr>
      </w:pPr>
      <w:r>
        <w:rPr>
          <w:rFonts w:ascii="Times New Roman" w:cs="Times New Roman" w:eastAsia="Times New Roman" w:hAnsi="Times New Roman"/>
          <w:sz w:val="18"/>
          <w:szCs w:val="18"/>
          <w:u w:val="single" w:color="auto"/>
          <w:color w:val="auto"/>
        </w:rPr>
        <w:t>If we do not complete a business combination within 36-month of our initial public offering, our securities will be suspended from trading a, page 79</w:t>
      </w:r>
    </w:p>
    <w:p>
      <w:pPr>
        <w:spacing w:after="0" w:line="179" w:lineRule="exact"/>
        <w:rPr>
          <w:sz w:val="20"/>
          <w:szCs w:val="20"/>
          <w:color w:val="auto"/>
        </w:rPr>
      </w:pPr>
    </w:p>
    <w:p>
      <w:pPr>
        <w:jc w:val="both"/>
        <w:ind w:left="660" w:hanging="301"/>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risk factor on pg. 79 regarding the risk of delisting upon issuance of a delisting determination letter for failure to meet the requirement in Nasdaq Rule IM 5101-2(b) to complete one or more business combinations within 36 months of the date of effectiveness of its IPO registration statement. Please revise to disclose the consequences of any such suspension or delisting, including that you may no longer be attractive as a merger partner if you are no longer listed on an exchange and any potential impact on your ability to complete an initial business combination.</w:t>
      </w:r>
    </w:p>
    <w:p>
      <w:pPr>
        <w:spacing w:after="0" w:line="18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78 and 79 of Amendment No. 4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9" w:lineRule="exact"/>
        <w:rPr>
          <w:sz w:val="20"/>
          <w:szCs w:val="20"/>
          <w:color w:val="auto"/>
        </w:rPr>
      </w:pPr>
    </w:p>
    <w:p>
      <w:pPr>
        <w:ind w:right="4620"/>
        <w:spacing w:after="0" w:line="282" w:lineRule="auto"/>
        <w:rPr>
          <w:sz w:val="20"/>
          <w:szCs w:val="20"/>
          <w:color w:val="auto"/>
        </w:rPr>
      </w:pPr>
      <w:r>
        <w:rPr>
          <w:rFonts w:ascii="Times New Roman" w:cs="Times New Roman" w:eastAsia="Times New Roman" w:hAnsi="Times New Roman"/>
          <w:sz w:val="18"/>
          <w:szCs w:val="18"/>
          <w:u w:val="single" w:color="auto"/>
          <w:color w:val="auto"/>
        </w:rPr>
        <w:t>Material U.S. Federal Income Tax Considerations for BurTech, Holders of BurTech Class A Common Stock and Holders of New Blaize Common Stock, page 178</w:t>
      </w:r>
    </w:p>
    <w:p>
      <w:pPr>
        <w:spacing w:after="0" w:line="16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i w:val="1"/>
          <w:iCs w:val="1"/>
          <w:color w:val="auto"/>
        </w:rPr>
        <w:t>. We note that you have provided a "form of" tax opinion as exhibit 8.1. Please file the actual tax opinion, not merely the form. Additionally, we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your disclosure throughout the registration statement that "Latham &amp; Watkins LLP intends to deliver an opinion to the effect that... the Merger should qualify as a "reorganization" within the meaning of Section 368 (a) of the Code." Please update this disclosure throughout the registration statement that Latham &amp; Watkins is delivering a tax opinion.</w:t>
      </w:r>
    </w:p>
    <w:p>
      <w:pPr>
        <w:spacing w:after="0" w:line="17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14, 43, 78 and 186 of Amendment No. 4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comment. Exhibit 8.1 has been replaced with the executed tax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of Certain Beneficial Owners and Management, page 303</w:t>
      </w:r>
    </w:p>
    <w:p>
      <w:pPr>
        <w:spacing w:after="0" w:line="22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 We note your response to our comment 21 in our September 24, 2024 comment letter. Please revise to identify the natural persons who have or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and/or dispositive powers over the shares held by each entity listed in each table.</w:t>
      </w:r>
    </w:p>
    <w:p>
      <w:pPr>
        <w:spacing w:after="0" w:line="15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303, 304 and 307 of Amendment No. 4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helpful to the Staff’s understanding of the Registrant and Co-Registrant’s disclosure and that the disclosure modifications in Amendment No. 4 are satisfactory to the Staff. If you have any questions or comments about this letter or need any further information, please call the undersigned at (212) 318-3168.</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Rajiv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Rajiv Khanna</w:t>
      </w:r>
    </w:p>
    <w:p>
      <w:pPr>
        <w:spacing w:after="0" w:line="207" w:lineRule="exact"/>
        <w:rPr>
          <w:sz w:val="20"/>
          <w:szCs w:val="20"/>
          <w:color w:val="auto"/>
        </w:rPr>
      </w:pPr>
    </w:p>
    <w:p>
      <w:pPr>
        <w:ind w:left="580" w:right="7820" w:hanging="572"/>
        <w:spacing w:after="0" w:line="272" w:lineRule="auto"/>
        <w:tabs>
          <w:tab w:leader="none" w:pos="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Shahal Khan (BurTech Acquisition Corp.) Dinakar Munagala (Blaize, Inc.) Ryan Lynch (Latham &amp; Watkins LLP)</w:t>
      </w:r>
    </w:p>
    <w:p>
      <w:pPr>
        <w:spacing w:after="0" w:line="1"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Lee McIntyre (Norton Rose Fulbright US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 is a limited liability partnership registered under the laws of Texas.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240"/>
          </w:cols>
          <w:pgMar w:left="320" w:top="904" w:right="339" w:bottom="0" w:gutter="0" w:footer="0" w:header="0"/>
        </w:sectPr>
      </w:pPr>
    </w:p>
    <w:bookmarkStart w:id="2" w:name="page3"/>
    <w:bookmarkEnd w:id="2"/>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2025-01-03T23:09:50Z</dcterms:created>
  <dcterms:modified xsi:type="dcterms:W3CDTF">2025-01-03T23:09:50Z</dcterms:modified>
</cp:coreProperties>
</file>