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SEC File No. 333-288742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323215</wp:posOffset>
            </wp:positionV>
            <wp:extent cx="2940050" cy="994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0050" cy="994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20,326,158 Shares of Common Stock by the Selling Stockholder</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769,231 Shares of Common Stock by Cantor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August 7, 2025 (as supplemented or amended from time to time, the “Prospectus”), which forms a part of our Registration Statement on Form S-1 (Registration No. 333-288742). Capitalized terms used in this prospectus supplement and not otherwise defined herein have the meanings specified in the Prospectus.</w:t>
      </w:r>
    </w:p>
    <w:p>
      <w:pPr>
        <w:spacing w:after="0" w:line="176" w:lineRule="exact"/>
        <w:rPr>
          <w:sz w:val="24"/>
          <w:szCs w:val="24"/>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information contained in our Quarterly Report on Form 10-Q filed with the SEC on August 14, 2025, which is set forth below.</w:t>
      </w:r>
    </w:p>
    <w:p>
      <w:pPr>
        <w:spacing w:after="0" w:line="162" w:lineRule="exact"/>
        <w:rPr>
          <w:sz w:val="24"/>
          <w:szCs w:val="24"/>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trading symbols “BZAI” and “BZAIW,” respectively. On August 18, 2025, the closing prices for our Common Stock and Warrants on the Nasdaq Stock Market LLC were $3.52 per share of Common Stock and $0.53 per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12 of the Prospectus and other risk factors contained in the documents incorporated by reference therein for a discussion of information that should be considered in connection with an investment in our securities.</w:t>
      </w:r>
    </w:p>
    <w:p>
      <w:pPr>
        <w:spacing w:after="0" w:line="171" w:lineRule="exact"/>
        <w:rPr>
          <w:sz w:val="24"/>
          <w:szCs w:val="24"/>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-250825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0"/>
          <w:szCs w:val="20"/>
          <w:color w:val="auto"/>
        </w:rPr>
      </w:pPr>
    </w:p>
    <w:p>
      <w:pPr>
        <w:ind w:left="3880" w:right="1580" w:hanging="3859"/>
        <w:spacing w:after="0" w:line="330"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70" w:lineRule="exact"/>
        <w:rPr>
          <w:sz w:val="20"/>
          <w:szCs w:val="20"/>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0"/>
          <w:szCs w:val="20"/>
          <w:color w:val="auto"/>
        </w:rPr>
      </w:pPr>
    </w:p>
    <w:p>
      <w:pPr>
        <w:ind w:left="3640"/>
        <w:spacing w:after="0"/>
        <w:tabs>
          <w:tab w:leader="none" w:pos="6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001-41139</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Blaize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88"/>
        </w:trPr>
        <w:tc>
          <w:tcPr>
            <w:tcW w:w="4880" w:type="dxa"/>
            <w:vAlign w:val="bottom"/>
          </w:tcPr>
          <w:p>
            <w:pPr>
              <w:jc w:val="center"/>
              <w:ind w:right="135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58"/>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3520" w:type="dxa"/>
            <w:vAlign w:val="bottom"/>
          </w:tcPr>
          <w:p>
            <w:pPr>
              <w:spacing w:after="0"/>
              <w:rPr>
                <w:sz w:val="22"/>
                <w:szCs w:val="22"/>
                <w:color w:val="auto"/>
              </w:rPr>
            </w:pPr>
          </w:p>
        </w:tc>
      </w:tr>
      <w:tr>
        <w:trPr>
          <w:trHeight w:val="216"/>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El Dorado Hills, CA</w:t>
            </w:r>
          </w:p>
        </w:tc>
        <w:tc>
          <w:tcPr>
            <w:tcW w:w="352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88"/>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1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(916) 347-0050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7"/>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par value $0.0001 per share</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BZAI</w:t>
            </w:r>
          </w:p>
        </w:tc>
        <w:tc>
          <w:tcPr>
            <w:tcW w:w="12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279"/>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w:t>
            </w:r>
            <w:r>
              <w:rPr>
                <w:rFonts w:ascii="Times New Roman" w:cs="Times New Roman" w:eastAsia="Times New Roman" w:hAnsi="Times New Roman"/>
                <w:sz w:val="18"/>
                <w:szCs w:val="18"/>
                <w:color w:val="auto"/>
                <w:w w:val="99"/>
              </w:rPr>
              <w:t>, each whole warrant exercisable for one share of</w:t>
            </w:r>
          </w:p>
        </w:tc>
        <w:tc>
          <w:tcPr>
            <w:tcW w:w="12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BZAIW</w:t>
            </w:r>
          </w:p>
        </w:tc>
        <w:tc>
          <w:tcPr>
            <w:tcW w:w="120" w:type="dxa"/>
            <w:vAlign w:val="bottom"/>
          </w:tcPr>
          <w:p>
            <w:pPr>
              <w:spacing w:after="0"/>
              <w:rPr>
                <w:sz w:val="24"/>
                <w:szCs w:val="24"/>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126"/>
        </w:trPr>
        <w:tc>
          <w:tcPr>
            <w:tcW w:w="4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 at an exercise price of $11.50 per share</w:t>
            </w:r>
          </w:p>
        </w:tc>
        <w:tc>
          <w:tcPr>
            <w:tcW w:w="1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620" w:type="dxa"/>
            <w:vAlign w:val="bottom"/>
          </w:tcPr>
          <w:p>
            <w:pPr>
              <w:ind w:left="18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620" w:type="dxa"/>
            <w:vAlign w:val="bottom"/>
          </w:tcPr>
          <w:p>
            <w:pPr>
              <w:ind w:left="18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562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rPr>
              <w:t>☒</w:t>
            </w:r>
          </w:p>
        </w:tc>
        <w:tc>
          <w:tcPr>
            <w:tcW w:w="1940" w:type="dxa"/>
            <w:vAlign w:val="bottom"/>
          </w:tcPr>
          <w:p>
            <w:pPr>
              <w:spacing w:after="0"/>
              <w:rPr>
                <w:sz w:val="23"/>
                <w:szCs w:val="23"/>
                <w:color w:val="auto"/>
              </w:rPr>
            </w:pPr>
          </w:p>
        </w:tc>
      </w:tr>
    </w:tbl>
    <w:p>
      <w:pPr>
        <w:spacing w:after="0" w:line="128"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0"/>
          <w:szCs w:val="20"/>
          <w:color w:val="auto"/>
        </w:rPr>
      </w:pPr>
    </w:p>
    <w:p>
      <w:pPr>
        <w:spacing w:after="0" w:line="184" w:lineRule="exact"/>
        <w:tabs>
          <w:tab w:leader="none" w:pos="81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August 6, 2025, the registrant had 102,620,190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 w:name="page3"/>
    <w:bookmarkEnd w:id="2"/>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0000FF"/>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31"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color w:val="auto"/>
        </w:rPr>
        <w:t>Financial Statements (unaudited)</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u w:val="single" w:color="auto"/>
          <w:color w:val="0000FF"/>
        </w:rPr>
        <w:t>Condensed Consolidated Balance Sheets as of June 30, 2025 and December 31, 2024 (unaudited)</w:t>
      </w:r>
    </w:p>
    <w:p>
      <w:pPr>
        <w:spacing w:after="0" w:line="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u w:val="single" w:color="auto"/>
          <w:color w:val="0000FF"/>
        </w:rPr>
        <w:t>Condensed Consolidated Statements of Operations for the three and six months ended June 30, 2025 and 2024 (unaudited)</w:t>
      </w:r>
    </w:p>
    <w:p>
      <w:pPr>
        <w:spacing w:after="0" w:line="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u w:val="single" w:color="auto"/>
          <w:color w:val="0000FF"/>
        </w:rPr>
        <w:t>Condensed Consolidated Statements of Stockholders’ Equity (Deficit) for the three and six months ended June 30, 2025 and 2024 (unaudited)</w:t>
      </w:r>
    </w:p>
    <w:p>
      <w:pPr>
        <w:spacing w:after="0" w:line="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u w:val="single" w:color="auto"/>
          <w:color w:val="0000FF"/>
        </w:rPr>
        <w:t>Condensed Consolidated Statements of Cash Flows for the six months ended June 30, 2025 and 2024 (unaudited)</w:t>
      </w:r>
    </w:p>
    <w:p>
      <w:pPr>
        <w:spacing w:after="0" w:line="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u w:val="single" w:color="auto"/>
          <w:color w:val="0000FF"/>
        </w:rPr>
        <w:t>Notes to the Condensed Consolidated Financial Statements (unaudited)</w:t>
      </w:r>
    </w:p>
    <w:p>
      <w:pPr>
        <w:spacing w:after="0" w:line="28"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8"/>
          <w:szCs w:val="18"/>
          <w:color w:val="auto"/>
        </w:rPr>
        <w:t>Management’s Discussion and Analysis of Financial Condition and Results of Operations</w:t>
      </w:r>
    </w:p>
    <w:p>
      <w:pPr>
        <w:spacing w:after="0" w:line="27"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Item 3.</w:t>
      </w:r>
      <w:r>
        <w:rPr>
          <w:sz w:val="20"/>
          <w:szCs w:val="20"/>
          <w:color w:val="auto"/>
        </w:rPr>
        <w:tab/>
      </w:r>
      <w:r>
        <w:rPr>
          <w:rFonts w:ascii="Times New Roman" w:cs="Times New Roman" w:eastAsia="Times New Roman" w:hAnsi="Times New Roman"/>
          <w:sz w:val="17"/>
          <w:szCs w:val="17"/>
          <w:color w:val="auto"/>
        </w:rPr>
        <w:t>Quantitative and Qualitative Disclosures About Market Risk</w:t>
      </w:r>
    </w:p>
    <w:p>
      <w:pPr>
        <w:spacing w:after="0" w:line="9"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8"/>
          <w:szCs w:val="18"/>
          <w:color w:val="auto"/>
        </w:rPr>
        <w:t>Controls and Procedures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0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196"/>
        </w:trPr>
        <w:tc>
          <w:tcPr>
            <w:tcW w:w="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460" w:type="dxa"/>
            <w:vAlign w:val="bottom"/>
            <w:gridSpan w:val="2"/>
          </w:tcPr>
          <w:p>
            <w:pPr>
              <w:spacing w:after="0"/>
              <w:rPr>
                <w:sz w:val="17"/>
                <w:szCs w:val="17"/>
                <w:color w:val="auto"/>
              </w:rPr>
            </w:pP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Legal Proceedings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1A.</w:t>
            </w:r>
          </w:p>
        </w:tc>
        <w:tc>
          <w:tcPr>
            <w:tcW w:w="480" w:type="dxa"/>
            <w:vAlign w:val="bottom"/>
            <w:gridSpan w:val="3"/>
          </w:tcPr>
          <w:p>
            <w:pPr>
              <w:spacing w:after="0"/>
              <w:rPr>
                <w:sz w:val="17"/>
                <w:szCs w:val="17"/>
                <w:color w:val="auto"/>
              </w:rPr>
            </w:pP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Risk Factors</w:t>
            </w: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Defaults Upon Senior Securities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Other Information</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Exhibits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10100" w:type="dxa"/>
            <w:vAlign w:val="bottom"/>
          </w:tcPr>
          <w:p>
            <w:pPr>
              <w:spacing w:after="0"/>
              <w:rPr>
                <w:sz w:val="24"/>
                <w:szCs w:val="24"/>
                <w:color w:val="auto"/>
              </w:rPr>
            </w:pPr>
          </w:p>
        </w:tc>
      </w:tr>
      <w:tr>
        <w:trPr>
          <w:trHeight w:val="1243"/>
        </w:trPr>
        <w:tc>
          <w:tcPr>
            <w:tcW w:w="2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3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“Quarterly Report”) of Blaize Holdings, Inc. (“Blaize,” “we,” “our,” or “us,”)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Quarterly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spacing w:after="0" w:line="8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spacing w:after="0" w:line="79"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changes in domestic and foreign business, market, financial, political and legal conditions; the expected benefits of the Business Combination, as defined in Note 2 included in Item 1. of Part I. of this Quarterly Report, are not obtained; the ability to meet stock exchange listing standards following the consummation of the Business Combination; the risk that the Business Combination disrupts current plans and operations of Blaize as a result of the consummation of the Business Combination;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costs related to the Business Combination; changes in applicable law or regulations; the outcome of any legal proceedings that may be instituted against Blaize; the effects of competition on Blaize’s future business; the ability of the combined company to issue equity or equity-linked securities or obtain debt financing; the enforceability of Blaize intellectual property rights, including its copyrights, patents, trademarks and trade secrets, and the potential infringement on the intellectual property rights of others; risks related to human capital; risks related to cybersecurity and data privacy; the outcome of any government and regulatory proceedings and investigations and inquiries; and those factors in the other documents filed by Blaize from time to time with the U.S. Securities and Exchange Commission (“SEC”). The discussion in this Quarterly Report should be read in conjunction with the condensed consolidated financial statements and notes thereto included in Item 1. of Part I. of this Quarterly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83" w:lineRule="exact"/>
        <w:rPr>
          <w:sz w:val="20"/>
          <w:szCs w:val="20"/>
          <w:color w:val="auto"/>
        </w:rPr>
      </w:pPr>
    </w:p>
    <w:p>
      <w:pPr>
        <w:ind w:right="420" w:firstLine="449"/>
        <w:spacing w:after="0" w:line="261" w:lineRule="auto"/>
        <w:rPr>
          <w:sz w:val="20"/>
          <w:szCs w:val="20"/>
          <w:color w:val="auto"/>
        </w:rPr>
      </w:pPr>
      <w:r>
        <w:rPr>
          <w:rFonts w:ascii="Times New Roman" w:cs="Times New Roman" w:eastAsia="Times New Roman" w:hAnsi="Times New Roman"/>
          <w:sz w:val="18"/>
          <w:szCs w:val="18"/>
          <w:color w:val="auto"/>
        </w:rPr>
        <w:t>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5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20" w:type="dxa"/>
            <w:vAlign w:val="bottom"/>
          </w:tcPr>
          <w:p>
            <w:pPr>
              <w:spacing w:after="0"/>
              <w:rPr>
                <w:sz w:val="16"/>
                <w:szCs w:val="16"/>
                <w:color w:val="auto"/>
              </w:rPr>
            </w:pPr>
          </w:p>
        </w:tc>
        <w:tc>
          <w:tcPr>
            <w:tcW w:w="16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0" w:type="dxa"/>
            <w:vAlign w:val="bottom"/>
          </w:tcPr>
          <w:p>
            <w:pPr>
              <w:spacing w:after="0"/>
              <w:rPr>
                <w:sz w:val="16"/>
                <w:szCs w:val="16"/>
                <w:color w:val="auto"/>
              </w:rPr>
            </w:pPr>
          </w:p>
        </w:tc>
        <w:tc>
          <w:tcPr>
            <w:tcW w:w="15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87"/>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22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778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Funds held in escrow</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 related party, net (Note 15)</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53,828</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Working capital loan (Note 8)</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Advances from related party (Note 8)</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 liabilities, current</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Convertible notes, current</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39,612</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188,143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58,638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 $0.0001 par value; 600,000,000 and 136,562,809 shares authorized as of June 30,</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2025 and December 31, 2024, respectively, 98,881,933 and 48,376,052 shares issued and outstanding as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June 30, 2025 and December 31, 2024,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610,335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(8,554)</w:t>
            </w: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(606,601)</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(429,251)</w:t>
            </w:r>
          </w:p>
        </w:tc>
        <w:tc>
          <w:tcPr>
            <w:tcW w:w="0" w:type="dxa"/>
            <w:vAlign w:val="bottom"/>
          </w:tcPr>
          <w:p>
            <w:pPr>
              <w:spacing w:after="0"/>
              <w:rPr>
                <w:sz w:val="1"/>
                <w:szCs w:val="1"/>
                <w:color w:val="auto"/>
              </w:rPr>
            </w:pPr>
          </w:p>
        </w:tc>
      </w:tr>
      <w:tr>
        <w:trPr>
          <w:trHeight w:val="20"/>
        </w:trPr>
        <w:tc>
          <w:tcPr>
            <w:tcW w:w="77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(4,810)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(110,463)</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53,828</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-4208145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-2253615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-1696720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-316230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220" w:type="dxa"/>
            <w:vAlign w:val="bottom"/>
          </w:tcPr>
          <w:p>
            <w:pPr>
              <w:spacing w:after="0"/>
              <w:rPr>
                <w:sz w:val="15"/>
                <w:szCs w:val="15"/>
                <w:color w:val="auto"/>
              </w:rPr>
            </w:pPr>
          </w:p>
        </w:tc>
        <w:tc>
          <w:tcPr>
            <w:tcW w:w="278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26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Hardware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Software revenue</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Hardware revenue - related party (Note 15)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Software revenue - related party (Note 15)</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Engineering services revenue - related party (Note 15)</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costs</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(21,883)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(11,135)</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(59,904)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(19,272)</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(5,872)</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(165,703)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(10,523)</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(7,257)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unissued shares</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(29,550)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(12,022)</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(177,149)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(28,603)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(29,589)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(12,153)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(177,350)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(28,896)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3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196"/>
        </w:trPr>
        <w:tc>
          <w:tcPr>
            <w:tcW w:w="53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104,588,373</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13,623,106</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98,374,632</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13,618,188</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-2442210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-2442210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-2442210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-2442210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-1062355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-1062355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-1062355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-496570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-496570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-496570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-187960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-170815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7"/>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9"/>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Redeemable Convertible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11"/>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19"/>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8"/>
              </w:rPr>
              <w:t>Stockholder's Equity/(Deficit)</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9"/>
          </w:tcPr>
          <w:p>
            <w:pPr>
              <w:jc w:val="right"/>
              <w:ind w:right="242"/>
              <w:spacing w:after="0" w:line="100"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11"/>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11"/>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w w:val="96"/>
              </w:rPr>
              <w:t>Treasury Stock</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3"/>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9"/>
              </w:rPr>
              <w:t>Sharehol</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7"/>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Accumulat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3"/>
          </w:tcPr>
          <w:p>
            <w:pPr>
              <w:jc w:val="center"/>
              <w:ind w:right="280"/>
              <w:spacing w:after="0" w:line="10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Borders>
              <w:bottom w:val="single" w:sz="8" w:color="auto"/>
            </w:tcBorders>
            <w:gridSpan w:val="8"/>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11"/>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9"/>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10"/>
                <w:szCs w:val="10"/>
                <w:color w:val="auto"/>
              </w:rPr>
            </w:pPr>
          </w:p>
        </w:tc>
        <w:tc>
          <w:tcPr>
            <w:tcW w:w="460" w:type="dxa"/>
            <w:vAlign w:val="bottom"/>
            <w:gridSpan w:val="3"/>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der Note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gridSpan w:val="2"/>
          </w:tcPr>
          <w:p>
            <w:pPr>
              <w:jc w:val="center"/>
              <w:ind w:right="20"/>
              <w:spacing w:after="0" w:line="124" w:lineRule="exact"/>
              <w:rPr>
                <w:sz w:val="20"/>
                <w:szCs w:val="20"/>
                <w:color w:val="auto"/>
              </w:rPr>
            </w:pPr>
            <w:r>
              <w:rPr>
                <w:rFonts w:ascii="Times New Roman" w:cs="Times New Roman" w:eastAsia="Times New Roman" w:hAnsi="Times New Roman"/>
                <w:sz w:val="11"/>
                <w:szCs w:val="11"/>
                <w:b w:val="1"/>
                <w:bCs w:val="1"/>
                <w:color w:val="auto"/>
                <w:w w:val="90"/>
              </w:rPr>
              <w: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99"/>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3860" w:type="dxa"/>
            <w:vAlign w:val="bottom"/>
            <w:gridSpan w:val="32"/>
          </w:tcPr>
          <w:p>
            <w:pPr>
              <w:spacing w:after="0"/>
              <w:rPr>
                <w:sz w:val="20"/>
                <w:szCs w:val="20"/>
                <w:color w:val="auto"/>
              </w:rPr>
            </w:pPr>
            <w:r>
              <w:rPr>
                <w:rFonts w:ascii="Times New Roman" w:cs="Times New Roman" w:eastAsia="Times New Roman" w:hAnsi="Times New Roman"/>
                <w:sz w:val="11"/>
                <w:szCs w:val="11"/>
                <w:b w:val="1"/>
                <w:bCs w:val="1"/>
                <w:color w:val="auto"/>
              </w:rPr>
              <w:t>Amou</w:t>
            </w:r>
          </w:p>
        </w:tc>
        <w:tc>
          <w:tcPr>
            <w:tcW w:w="1080" w:type="dxa"/>
            <w:vAlign w:val="bottom"/>
            <w:gridSpan w:val="1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Amo</w:t>
            </w:r>
          </w:p>
        </w:tc>
        <w:tc>
          <w:tcPr>
            <w:tcW w:w="680" w:type="dxa"/>
            <w:vAlign w:val="bottom"/>
            <w:gridSpan w:val="10"/>
          </w:tcPr>
          <w:p>
            <w:pPr>
              <w:jc w:val="center"/>
              <w:ind w:right="306"/>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740" w:type="dxa"/>
            <w:vAlign w:val="bottom"/>
            <w:gridSpan w:val="9"/>
          </w:tcPr>
          <w:p>
            <w:pPr>
              <w:jc w:val="center"/>
              <w:ind w:right="293"/>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420" w:type="dxa"/>
            <w:vAlign w:val="bottom"/>
            <w:gridSpan w:val="19"/>
          </w:tcPr>
          <w:p>
            <w:pPr>
              <w:jc w:val="center"/>
              <w:ind w:right="1940"/>
              <w:spacing w:after="0" w:line="100" w:lineRule="exact"/>
              <w:rPr>
                <w:sz w:val="20"/>
                <w:szCs w:val="20"/>
                <w:color w:val="auto"/>
              </w:rPr>
            </w:pPr>
            <w:r>
              <w:rPr>
                <w:rFonts w:ascii="Times New Roman" w:cs="Times New Roman" w:eastAsia="Times New Roman" w:hAnsi="Times New Roman"/>
                <w:sz w:val="11"/>
                <w:szCs w:val="11"/>
                <w:b w:val="1"/>
                <w:bCs w:val="1"/>
                <w:color w:val="auto"/>
                <w:w w:val="95"/>
              </w:rPr>
              <w:t>Receivabl</w:t>
            </w:r>
          </w:p>
        </w:tc>
        <w:tc>
          <w:tcPr>
            <w:tcW w:w="0" w:type="dxa"/>
            <w:vAlign w:val="bottom"/>
          </w:tcPr>
          <w:p>
            <w:pPr>
              <w:spacing w:after="0"/>
              <w:rPr>
                <w:sz w:val="1"/>
                <w:szCs w:val="1"/>
                <w:color w:val="auto"/>
              </w:rPr>
            </w:pPr>
          </w:p>
        </w:tc>
      </w:tr>
      <w:tr>
        <w:trPr>
          <w:trHeight w:val="88"/>
        </w:trPr>
        <w:tc>
          <w:tcPr>
            <w:tcW w:w="24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5"/>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unt</w:t>
            </w:r>
          </w:p>
        </w:tc>
        <w:tc>
          <w:tcPr>
            <w:tcW w:w="120" w:type="dxa"/>
            <w:vAlign w:val="bottom"/>
            <w:gridSpan w:val="2"/>
            <w:vMerge w:val="restart"/>
          </w:tcPr>
          <w:p>
            <w:pPr>
              <w:spacing w:after="0"/>
              <w:rPr>
                <w:sz w:val="7"/>
                <w:szCs w:val="7"/>
                <w:color w:val="auto"/>
              </w:rPr>
            </w:pPr>
          </w:p>
        </w:tc>
        <w:tc>
          <w:tcPr>
            <w:tcW w:w="480" w:type="dxa"/>
            <w:vAlign w:val="bottom"/>
            <w:gridSpan w:val="4"/>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gridSpan w:val="4"/>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nt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7"/>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gridSpan w:val="2"/>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e</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6"/>
            <w:vMerge w:val="restart"/>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49"/>
        </w:trPr>
        <w:tc>
          <w:tcPr>
            <w:tcW w:w="2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3"/>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Borders>
              <w:bottom w:val="single" w:sz="8" w:color="auto"/>
            </w:tcBorders>
            <w:gridSpan w:val="3"/>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bottom w:val="single" w:sz="8" w:color="auto"/>
            </w:tcBorders>
            <w:gridSpan w:val="5"/>
            <w:vMerge w:val="continue"/>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3"/>
            <w:vMerge w:val="continue"/>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bottom w:val="single" w:sz="8" w:color="auto"/>
            </w:tcBorders>
            <w:gridSpan w:val="2"/>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gridSpan w:val="4"/>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80" w:type="dxa"/>
            <w:vAlign w:val="bottom"/>
            <w:tcBorders>
              <w:bottom w:val="single" w:sz="8" w:color="auto"/>
            </w:tcBorders>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4"/>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7"/>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gridSpan w:val="6"/>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3460" w:type="dxa"/>
            <w:vAlign w:val="bottom"/>
            <w:gridSpan w:val="10"/>
            <w:shd w:val="clear" w:color="auto" w:fill="CFF0FC"/>
          </w:tcPr>
          <w:p>
            <w:pPr>
              <w:jc w:val="right"/>
              <w:ind w:right="3396"/>
              <w:spacing w:after="0"/>
              <w:rPr>
                <w:sz w:val="20"/>
                <w:szCs w:val="20"/>
                <w:color w:val="auto"/>
              </w:rPr>
            </w:pPr>
            <w:r>
              <w:rPr>
                <w:rFonts w:ascii="Times New Roman" w:cs="Times New Roman" w:eastAsia="Times New Roman" w:hAnsi="Times New Roman"/>
                <w:sz w:val="13"/>
                <w:szCs w:val="13"/>
                <w:b w:val="1"/>
                <w:bCs w:val="1"/>
                <w:color w:val="auto"/>
              </w:rPr>
              <w:t>34,712,52</w:t>
            </w:r>
          </w:p>
        </w:tc>
        <w:tc>
          <w:tcPr>
            <w:tcW w:w="1800" w:type="dxa"/>
            <w:vAlign w:val="bottom"/>
            <w:gridSpan w:val="15"/>
            <w:shd w:val="clear" w:color="auto" w:fill="CFF0FC"/>
          </w:tcPr>
          <w:p>
            <w:pPr>
              <w:jc w:val="right"/>
              <w:ind w:right="1393"/>
              <w:spacing w:after="0" w:line="126" w:lineRule="exact"/>
              <w:rPr>
                <w:sz w:val="20"/>
                <w:szCs w:val="20"/>
                <w:color w:val="auto"/>
              </w:rPr>
            </w:pPr>
            <w:r>
              <w:rPr>
                <w:rFonts w:ascii="Times New Roman" w:cs="Times New Roman" w:eastAsia="Times New Roman" w:hAnsi="Times New Roman"/>
                <w:sz w:val="13"/>
                <w:szCs w:val="13"/>
                <w:b w:val="1"/>
                <w:bCs w:val="1"/>
                <w:color w:val="auto"/>
              </w:rPr>
              <w:t>173,3</w:t>
            </w:r>
          </w:p>
        </w:tc>
        <w:tc>
          <w:tcPr>
            <w:tcW w:w="1560" w:type="dxa"/>
            <w:vAlign w:val="bottom"/>
            <w:gridSpan w:val="15"/>
            <w:shd w:val="clear" w:color="auto" w:fill="CFF0FC"/>
          </w:tcPr>
          <w:p>
            <w:pPr>
              <w:jc w:val="right"/>
              <w:ind w:right="740"/>
              <w:spacing w:after="0" w:line="126" w:lineRule="exact"/>
              <w:rPr>
                <w:sz w:val="20"/>
                <w:szCs w:val="20"/>
                <w:color w:val="auto"/>
              </w:rPr>
            </w:pPr>
            <w:r>
              <w:rPr>
                <w:rFonts w:ascii="Times New Roman" w:cs="Times New Roman" w:eastAsia="Times New Roman" w:hAnsi="Times New Roman"/>
                <w:sz w:val="13"/>
                <w:szCs w:val="13"/>
                <w:b w:val="1"/>
                <w:bCs w:val="1"/>
                <w:color w:val="auto"/>
              </w:rPr>
              <w:t>13,663,52</w:t>
            </w:r>
          </w:p>
        </w:tc>
        <w:tc>
          <w:tcPr>
            <w:tcW w:w="2620" w:type="dxa"/>
            <w:vAlign w:val="bottom"/>
            <w:gridSpan w:val="31"/>
            <w:shd w:val="clear" w:color="auto" w:fill="CFF0FC"/>
          </w:tcPr>
          <w:p>
            <w:pPr>
              <w:jc w:val="right"/>
              <w:ind w:right="2206"/>
              <w:spacing w:after="0" w:line="126" w:lineRule="exact"/>
              <w:rPr>
                <w:sz w:val="20"/>
                <w:szCs w:val="20"/>
                <w:color w:val="auto"/>
              </w:rPr>
            </w:pPr>
            <w:r>
              <w:rPr>
                <w:rFonts w:ascii="Times New Roman" w:cs="Times New Roman" w:eastAsia="Times New Roman" w:hAnsi="Times New Roman"/>
                <w:sz w:val="13"/>
                <w:szCs w:val="13"/>
                <w:b w:val="1"/>
                <w:bCs w:val="1"/>
                <w:color w:val="auto"/>
              </w:rPr>
              <w:t>96,8</w:t>
            </w:r>
          </w:p>
        </w:tc>
        <w:tc>
          <w:tcPr>
            <w:tcW w:w="1800" w:type="dxa"/>
            <w:vAlign w:val="bottom"/>
            <w:gridSpan w:val="13"/>
            <w:shd w:val="clear" w:color="auto" w:fill="CFF0FC"/>
          </w:tcPr>
          <w:p>
            <w:pPr>
              <w:jc w:val="right"/>
              <w:ind w:right="1200"/>
              <w:spacing w:after="0" w:line="126" w:lineRule="exact"/>
              <w:rPr>
                <w:sz w:val="20"/>
                <w:szCs w:val="20"/>
                <w:color w:val="auto"/>
              </w:rPr>
            </w:pPr>
            <w:r>
              <w:rPr>
                <w:rFonts w:ascii="Times New Roman" w:cs="Times New Roman" w:eastAsia="Times New Roman" w:hAnsi="Times New Roman"/>
                <w:sz w:val="13"/>
                <w:szCs w:val="13"/>
                <w:b w:val="1"/>
                <w:bCs w:val="1"/>
                <w:color w:val="auto"/>
              </w:rPr>
              <w:t>(429,25</w:t>
            </w:r>
          </w:p>
        </w:tc>
        <w:tc>
          <w:tcPr>
            <w:tcW w:w="0" w:type="dxa"/>
            <w:vAlign w:val="bottom"/>
          </w:tcPr>
          <w:p>
            <w:pPr>
              <w:spacing w:after="0"/>
              <w:rPr>
                <w:sz w:val="1"/>
                <w:szCs w:val="1"/>
                <w:color w:val="auto"/>
              </w:rPr>
            </w:pPr>
          </w:p>
        </w:tc>
      </w:tr>
      <w:tr>
        <w:trPr>
          <w:trHeight w:val="165"/>
        </w:trPr>
        <w:tc>
          <w:tcPr>
            <w:tcW w:w="24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7</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gridSpan w:val="7"/>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 —</w:t>
            </w:r>
          </w:p>
        </w:tc>
        <w:tc>
          <w:tcPr>
            <w:tcW w:w="480" w:type="dxa"/>
            <w:vAlign w:val="bottom"/>
            <w:gridSpan w:val="4"/>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87</w:t>
            </w:r>
          </w:p>
        </w:tc>
        <w:tc>
          <w:tcPr>
            <w:tcW w:w="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gridSpan w:val="4"/>
            <w:shd w:val="clear" w:color="auto" w:fill="CFF0FC"/>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6"/>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145,441</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(283,810)</w:t>
            </w:r>
          </w:p>
        </w:tc>
        <w:tc>
          <w:tcPr>
            <w:tcW w:w="0" w:type="dxa"/>
            <w:vAlign w:val="bottom"/>
          </w:tcPr>
          <w:p>
            <w:pPr>
              <w:spacing w:after="0"/>
              <w:rPr>
                <w:sz w:val="1"/>
                <w:szCs w:val="1"/>
                <w:color w:val="auto"/>
              </w:rPr>
            </w:pPr>
          </w:p>
        </w:tc>
      </w:tr>
      <w:tr>
        <w:trPr>
          <w:trHeight w:val="136"/>
        </w:trPr>
        <w:tc>
          <w:tcPr>
            <w:tcW w:w="3460" w:type="dxa"/>
            <w:vAlign w:val="bottom"/>
            <w:gridSpan w:val="10"/>
          </w:tcPr>
          <w:p>
            <w:pPr>
              <w:jc w:val="right"/>
              <w:ind w:right="3396"/>
              <w:spacing w:after="0"/>
              <w:rPr>
                <w:sz w:val="20"/>
                <w:szCs w:val="20"/>
                <w:color w:val="auto"/>
              </w:rPr>
            </w:pPr>
            <w:r>
              <w:rPr>
                <w:rFonts w:ascii="Times New Roman" w:cs="Times New Roman" w:eastAsia="Times New Roman" w:hAnsi="Times New Roman"/>
                <w:sz w:val="13"/>
                <w:szCs w:val="13"/>
                <w:color w:val="auto"/>
              </w:rPr>
              <w:t>(34,712,5</w:t>
            </w:r>
          </w:p>
        </w:tc>
        <w:tc>
          <w:tcPr>
            <w:tcW w:w="1800" w:type="dxa"/>
            <w:vAlign w:val="bottom"/>
            <w:gridSpan w:val="15"/>
          </w:tcPr>
          <w:p>
            <w:pPr>
              <w:jc w:val="right"/>
              <w:ind w:right="1393"/>
              <w:spacing w:after="0" w:line="136" w:lineRule="exact"/>
              <w:rPr>
                <w:sz w:val="20"/>
                <w:szCs w:val="20"/>
                <w:color w:val="auto"/>
              </w:rPr>
            </w:pPr>
            <w:r>
              <w:rPr>
                <w:rFonts w:ascii="Times New Roman" w:cs="Times New Roman" w:eastAsia="Times New Roman" w:hAnsi="Times New Roman"/>
                <w:sz w:val="13"/>
                <w:szCs w:val="13"/>
                <w:color w:val="auto"/>
                <w:w w:val="95"/>
              </w:rPr>
              <w:t>(173,3</w:t>
            </w:r>
          </w:p>
        </w:tc>
        <w:tc>
          <w:tcPr>
            <w:tcW w:w="1560" w:type="dxa"/>
            <w:vAlign w:val="bottom"/>
            <w:gridSpan w:val="15"/>
          </w:tcPr>
          <w:p>
            <w:pPr>
              <w:jc w:val="right"/>
              <w:ind w:right="740"/>
              <w:spacing w:after="0" w:line="136" w:lineRule="exact"/>
              <w:rPr>
                <w:sz w:val="20"/>
                <w:szCs w:val="20"/>
                <w:color w:val="auto"/>
              </w:rPr>
            </w:pPr>
            <w:r>
              <w:rPr>
                <w:rFonts w:ascii="Times New Roman" w:cs="Times New Roman" w:eastAsia="Times New Roman" w:hAnsi="Times New Roman"/>
                <w:sz w:val="13"/>
                <w:szCs w:val="13"/>
                <w:color w:val="auto"/>
              </w:rPr>
              <w:t>34,712,52</w:t>
            </w:r>
          </w:p>
        </w:tc>
        <w:tc>
          <w:tcPr>
            <w:tcW w:w="4420" w:type="dxa"/>
            <w:vAlign w:val="bottom"/>
            <w:gridSpan w:val="44"/>
          </w:tcPr>
          <w:p>
            <w:pPr>
              <w:jc w:val="right"/>
              <w:ind w:right="4060"/>
              <w:spacing w:after="0" w:line="136" w:lineRule="exact"/>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61"/>
        </w:trPr>
        <w:tc>
          <w:tcPr>
            <w:tcW w:w="24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780" w:type="dxa"/>
            <w:vAlign w:val="bottom"/>
            <w:tcBorders>
              <w:bottom w:val="single" w:sz="8" w:color="auto"/>
            </w:tcBorders>
            <w:gridSpan w:val="5"/>
          </w:tcPr>
          <w:p>
            <w:pPr>
              <w:jc w:val="right"/>
              <w:ind w:right="5"/>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gridSpan w:val="2"/>
          </w:tcPr>
          <w:p>
            <w:pPr>
              <w:spacing w:after="0"/>
              <w:rPr>
                <w:sz w:val="14"/>
                <w:szCs w:val="14"/>
                <w:color w:val="auto"/>
              </w:rPr>
            </w:pPr>
          </w:p>
        </w:tc>
        <w:tc>
          <w:tcPr>
            <w:tcW w:w="5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4"/>
                <w:szCs w:val="14"/>
                <w:color w:val="auto"/>
              </w:rPr>
            </w:pPr>
          </w:p>
        </w:tc>
        <w:tc>
          <w:tcPr>
            <w:tcW w:w="7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4"/>
                <w:szCs w:val="14"/>
                <w:color w:val="auto"/>
              </w:rPr>
            </w:pPr>
          </w:p>
        </w:tc>
        <w:tc>
          <w:tcPr>
            <w:tcW w:w="78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gridSpan w:val="2"/>
          </w:tcPr>
          <w:p>
            <w:pPr>
              <w:spacing w:after="0"/>
              <w:rPr>
                <w:sz w:val="14"/>
                <w:szCs w:val="14"/>
                <w:color w:val="auto"/>
              </w:rPr>
            </w:pPr>
          </w:p>
        </w:tc>
        <w:tc>
          <w:tcPr>
            <w:tcW w:w="3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gridSpan w:val="2"/>
          </w:tcPr>
          <w:p>
            <w:pPr>
              <w:spacing w:after="0"/>
              <w:rPr>
                <w:sz w:val="14"/>
                <w:szCs w:val="14"/>
                <w:color w:val="auto"/>
              </w:rPr>
            </w:pPr>
          </w:p>
        </w:tc>
        <w:tc>
          <w:tcPr>
            <w:tcW w:w="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887)</w:t>
            </w:r>
          </w:p>
        </w:tc>
        <w:tc>
          <w:tcPr>
            <w:tcW w:w="100" w:type="dxa"/>
            <w:vAlign w:val="bottom"/>
            <w:gridSpan w:val="2"/>
          </w:tcPr>
          <w:p>
            <w:pPr>
              <w:spacing w:after="0"/>
              <w:rPr>
                <w:sz w:val="14"/>
                <w:szCs w:val="14"/>
                <w:color w:val="auto"/>
              </w:rPr>
            </w:pPr>
          </w:p>
        </w:tc>
        <w:tc>
          <w:tcPr>
            <w:tcW w:w="4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Borders>
              <w:bottom w:val="single" w:sz="8" w:color="auto"/>
            </w:tcBorders>
            <w:gridSpan w:val="9"/>
          </w:tcPr>
          <w:p>
            <w:pPr>
              <w:jc w:val="right"/>
              <w:ind w:right="760"/>
              <w:spacing w:after="0"/>
              <w:rPr>
                <w:sz w:val="20"/>
                <w:szCs w:val="20"/>
                <w:color w:val="auto"/>
              </w:rPr>
            </w:pPr>
            <w:r>
              <w:rPr>
                <w:rFonts w:ascii="Times New Roman" w:cs="Times New Roman" w:eastAsia="Times New Roman" w:hAnsi="Times New Roman"/>
                <w:sz w:val="13"/>
                <w:szCs w:val="13"/>
                <w:color w:val="auto"/>
              </w:rPr>
              <w:t>173,342</w:t>
            </w:r>
          </w:p>
        </w:tc>
        <w:tc>
          <w:tcPr>
            <w:tcW w:w="100" w:type="dxa"/>
            <w:vAlign w:val="bottom"/>
            <w:gridSpan w:val="2"/>
          </w:tcPr>
          <w:p>
            <w:pPr>
              <w:spacing w:after="0"/>
              <w:rPr>
                <w:sz w:val="14"/>
                <w:szCs w:val="14"/>
                <w:color w:val="auto"/>
              </w:rPr>
            </w:pPr>
          </w:p>
        </w:tc>
        <w:tc>
          <w:tcPr>
            <w:tcW w:w="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4"/>
                <w:szCs w:val="14"/>
                <w:color w:val="auto"/>
              </w:rPr>
            </w:pPr>
          </w:p>
        </w:tc>
        <w:tc>
          <w:tcPr>
            <w:tcW w:w="6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3"/>
                <w:szCs w:val="13"/>
                <w:color w:val="auto"/>
              </w:rPr>
              <w:t>173,347</w:t>
            </w:r>
          </w:p>
        </w:tc>
        <w:tc>
          <w:tcPr>
            <w:tcW w:w="0" w:type="dxa"/>
            <w:vAlign w:val="bottom"/>
          </w:tcPr>
          <w:p>
            <w:pPr>
              <w:spacing w:after="0"/>
              <w:rPr>
                <w:sz w:val="1"/>
                <w:szCs w:val="1"/>
                <w:color w:val="auto"/>
              </w:rPr>
            </w:pPr>
          </w:p>
        </w:tc>
      </w:tr>
      <w:tr>
        <w:trPr>
          <w:trHeight w:val="129"/>
        </w:trPr>
        <w:tc>
          <w:tcPr>
            <w:tcW w:w="9440" w:type="dxa"/>
            <w:vAlign w:val="bottom"/>
            <w:gridSpan w:val="71"/>
            <w:shd w:val="clear" w:color="auto" w:fill="CFF0FC"/>
          </w:tcPr>
          <w:p>
            <w:pPr>
              <w:jc w:val="right"/>
              <w:ind w:right="9386"/>
              <w:spacing w:after="0"/>
              <w:rPr>
                <w:sz w:val="20"/>
                <w:szCs w:val="20"/>
                <w:color w:val="auto"/>
              </w:rPr>
            </w:pPr>
            <w:r>
              <w:rPr>
                <w:rFonts w:ascii="Times New Roman" w:cs="Times New Roman" w:eastAsia="Times New Roman" w:hAnsi="Times New Roman"/>
                <w:sz w:val="13"/>
                <w:szCs w:val="13"/>
                <w:color w:val="auto"/>
              </w:rPr>
              <w:t>48,376,05</w:t>
            </w:r>
          </w:p>
        </w:tc>
        <w:tc>
          <w:tcPr>
            <w:tcW w:w="1800" w:type="dxa"/>
            <w:vAlign w:val="bottom"/>
            <w:gridSpan w:val="13"/>
            <w:shd w:val="clear" w:color="auto" w:fill="CFF0FC"/>
          </w:tcPr>
          <w:p>
            <w:pPr>
              <w:jc w:val="right"/>
              <w:ind w:right="1200"/>
              <w:spacing w:after="0" w:line="129" w:lineRule="exact"/>
              <w:rPr>
                <w:sz w:val="20"/>
                <w:szCs w:val="20"/>
                <w:color w:val="auto"/>
              </w:rPr>
            </w:pPr>
            <w:r>
              <w:rPr>
                <w:rFonts w:ascii="Times New Roman" w:cs="Times New Roman" w:eastAsia="Times New Roman" w:hAnsi="Times New Roman"/>
                <w:sz w:val="13"/>
                <w:szCs w:val="13"/>
                <w:color w:val="auto"/>
              </w:rPr>
              <w:t>(429,25</w:t>
            </w:r>
          </w:p>
        </w:tc>
        <w:tc>
          <w:tcPr>
            <w:tcW w:w="0" w:type="dxa"/>
            <w:vAlign w:val="bottom"/>
          </w:tcPr>
          <w:p>
            <w:pPr>
              <w:spacing w:after="0"/>
              <w:rPr>
                <w:sz w:val="1"/>
                <w:szCs w:val="1"/>
                <w:color w:val="auto"/>
              </w:rPr>
            </w:pPr>
          </w:p>
        </w:tc>
      </w:tr>
      <w:tr>
        <w:trPr>
          <w:trHeight w:val="161"/>
        </w:trPr>
        <w:tc>
          <w:tcPr>
            <w:tcW w:w="2900" w:type="dxa"/>
            <w:vAlign w:val="bottom"/>
            <w:gridSpan w:val="4"/>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560" w:type="dxa"/>
            <w:vAlign w:val="bottom"/>
            <w:gridSpan w:val="6"/>
            <w:shd w:val="clear" w:color="auto" w:fill="CFF0FC"/>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shd w:val="clear" w:color="auto" w:fill="CFF0FC"/>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jc w:val="right"/>
              <w:ind w:right="7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4"/>
              <w:spacing w:after="0"/>
              <w:rPr>
                <w:sz w:val="20"/>
                <w:szCs w:val="20"/>
                <w:color w:val="auto"/>
              </w:rPr>
            </w:pPr>
            <w:r>
              <w:rPr>
                <w:rFonts w:ascii="Times New Roman" w:cs="Times New Roman" w:eastAsia="Times New Roman" w:hAnsi="Times New Roman"/>
                <w:sz w:val="13"/>
                <w:szCs w:val="13"/>
                <w:color w:val="auto"/>
              </w:rPr>
              <w:t>2</w:t>
            </w:r>
          </w:p>
        </w:tc>
        <w:tc>
          <w:tcPr>
            <w:tcW w:w="560" w:type="dxa"/>
            <w:vAlign w:val="bottom"/>
            <w:gridSpan w:val="6"/>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5</w:t>
            </w:r>
          </w:p>
        </w:tc>
        <w:tc>
          <w:tcPr>
            <w:tcW w:w="600" w:type="dxa"/>
            <w:vAlign w:val="bottom"/>
            <w:gridSpan w:val="8"/>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6"/>
            <w:shd w:val="clear" w:color="auto" w:fill="CFF0FC"/>
          </w:tcPr>
          <w:p>
            <w:pPr>
              <w:jc w:val="right"/>
              <w:ind w:right="28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11"/>
            <w:shd w:val="clear" w:color="auto" w:fill="CFF0FC"/>
          </w:tcPr>
          <w:p>
            <w:pPr>
              <w:jc w:val="right"/>
              <w:ind w:right="436"/>
              <w:spacing w:after="0"/>
              <w:rPr>
                <w:sz w:val="20"/>
                <w:szCs w:val="20"/>
                <w:color w:val="auto"/>
              </w:rPr>
            </w:pPr>
            <w:r>
              <w:rPr>
                <w:rFonts w:ascii="Times New Roman" w:cs="Times New Roman" w:eastAsia="Times New Roman" w:hAnsi="Times New Roman"/>
                <w:sz w:val="13"/>
                <w:szCs w:val="13"/>
                <w:color w:val="auto"/>
              </w:rPr>
              <w:t>318,783</w:t>
            </w:r>
          </w:p>
        </w:tc>
        <w:tc>
          <w:tcPr>
            <w:tcW w:w="800" w:type="dxa"/>
            <w:vAlign w:val="bottom"/>
            <w:gridSpan w:val="8"/>
            <w:shd w:val="clear" w:color="auto" w:fill="CFF0FC"/>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245"/>
              <w:spacing w:after="0"/>
              <w:rPr>
                <w:sz w:val="20"/>
                <w:szCs w:val="20"/>
                <w:color w:val="auto"/>
              </w:rPr>
            </w:pPr>
            <w:r>
              <w:rPr>
                <w:rFonts w:ascii="Times New Roman" w:cs="Times New Roman" w:eastAsia="Times New Roman" w:hAnsi="Times New Roman"/>
                <w:sz w:val="13"/>
                <w:szCs w:val="13"/>
                <w:color w:val="auto"/>
              </w:rPr>
              <w:t>1)</w:t>
            </w:r>
          </w:p>
        </w:tc>
        <w:tc>
          <w:tcPr>
            <w:tcW w:w="8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(110,463)</w:t>
            </w:r>
          </w:p>
        </w:tc>
        <w:tc>
          <w:tcPr>
            <w:tcW w:w="0" w:type="dxa"/>
            <w:vAlign w:val="bottom"/>
          </w:tcPr>
          <w:p>
            <w:pPr>
              <w:spacing w:after="0"/>
              <w:rPr>
                <w:sz w:val="1"/>
                <w:szCs w:val="1"/>
                <w:color w:val="auto"/>
              </w:rPr>
            </w:pPr>
          </w:p>
        </w:tc>
      </w:tr>
      <w:tr>
        <w:trPr>
          <w:trHeight w:val="136"/>
        </w:trPr>
        <w:tc>
          <w:tcPr>
            <w:tcW w:w="11240" w:type="dxa"/>
            <w:vAlign w:val="bottom"/>
            <w:gridSpan w:val="84"/>
          </w:tcPr>
          <w:p>
            <w:pPr>
              <w:jc w:val="right"/>
              <w:ind w:right="11240"/>
              <w:spacing w:after="0"/>
              <w:rPr>
                <w:sz w:val="20"/>
                <w:szCs w:val="20"/>
                <w:color w:val="auto"/>
              </w:rPr>
            </w:pPr>
            <w:r>
              <w:rPr>
                <w:rFonts w:ascii="Times New Roman" w:cs="Times New Roman" w:eastAsia="Times New Roman" w:hAnsi="Times New Roman"/>
                <w:sz w:val="13"/>
                <w:szCs w:val="13"/>
                <w:color w:val="auto"/>
              </w:rPr>
              <w:t>31,433,25</w:t>
            </w:r>
          </w:p>
        </w:tc>
        <w:tc>
          <w:tcPr>
            <w:tcW w:w="0" w:type="dxa"/>
            <w:vAlign w:val="bottom"/>
          </w:tcPr>
          <w:p>
            <w:pPr>
              <w:spacing w:after="0"/>
              <w:rPr>
                <w:sz w:val="1"/>
                <w:szCs w:val="1"/>
                <w:color w:val="auto"/>
              </w:rPr>
            </w:pPr>
          </w:p>
        </w:tc>
      </w:tr>
      <w:tr>
        <w:trPr>
          <w:trHeight w:val="161"/>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Conversion of convertible notes</w:t>
            </w:r>
          </w:p>
        </w:tc>
        <w:tc>
          <w:tcPr>
            <w:tcW w:w="560" w:type="dxa"/>
            <w:vAlign w:val="bottom"/>
            <w:gridSpan w:val="6"/>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tcPr>
          <w:p>
            <w:pPr>
              <w:jc w:val="right"/>
              <w:ind w:right="7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304"/>
              <w:spacing w:after="0"/>
              <w:rPr>
                <w:sz w:val="20"/>
                <w:szCs w:val="20"/>
                <w:color w:val="auto"/>
              </w:rPr>
            </w:pPr>
            <w:r>
              <w:rPr>
                <w:rFonts w:ascii="Times New Roman" w:cs="Times New Roman" w:eastAsia="Times New Roman" w:hAnsi="Times New Roman"/>
                <w:sz w:val="13"/>
                <w:szCs w:val="13"/>
                <w:color w:val="auto"/>
              </w:rPr>
              <w:t>9</w:t>
            </w:r>
          </w:p>
        </w:tc>
        <w:tc>
          <w:tcPr>
            <w:tcW w:w="560" w:type="dxa"/>
            <w:vAlign w:val="bottom"/>
            <w:gridSpan w:val="6"/>
          </w:tcPr>
          <w:p>
            <w:pPr>
              <w:jc w:val="right"/>
              <w:ind w:right="362"/>
              <w:spacing w:after="0"/>
              <w:rPr>
                <w:sz w:val="20"/>
                <w:szCs w:val="20"/>
                <w:color w:val="auto"/>
              </w:rPr>
            </w:pPr>
            <w:r>
              <w:rPr>
                <w:rFonts w:ascii="Times New Roman" w:cs="Times New Roman" w:eastAsia="Times New Roman" w:hAnsi="Times New Roman"/>
                <w:sz w:val="13"/>
                <w:szCs w:val="13"/>
                <w:color w:val="auto"/>
              </w:rPr>
              <w:t>3</w:t>
            </w:r>
          </w:p>
        </w:tc>
        <w:tc>
          <w:tcPr>
            <w:tcW w:w="600" w:type="dxa"/>
            <w:vAlign w:val="bottom"/>
            <w:gridSpan w:val="8"/>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6"/>
          </w:tcPr>
          <w:p>
            <w:pPr>
              <w:jc w:val="right"/>
              <w:ind w:right="28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11"/>
          </w:tcPr>
          <w:p>
            <w:pPr>
              <w:jc w:val="right"/>
              <w:ind w:right="436"/>
              <w:spacing w:after="0"/>
              <w:rPr>
                <w:sz w:val="20"/>
                <w:szCs w:val="20"/>
                <w:color w:val="auto"/>
              </w:rPr>
            </w:pPr>
            <w:r>
              <w:rPr>
                <w:rFonts w:ascii="Times New Roman" w:cs="Times New Roman" w:eastAsia="Times New Roman" w:hAnsi="Times New Roman"/>
                <w:sz w:val="13"/>
                <w:szCs w:val="13"/>
                <w:color w:val="auto"/>
              </w:rPr>
              <w:t>314,331</w:t>
            </w:r>
          </w:p>
        </w:tc>
        <w:tc>
          <w:tcPr>
            <w:tcW w:w="800" w:type="dxa"/>
            <w:vAlign w:val="bottom"/>
            <w:gridSpan w:val="8"/>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314,334</w:t>
            </w:r>
          </w:p>
        </w:tc>
        <w:tc>
          <w:tcPr>
            <w:tcW w:w="0" w:type="dxa"/>
            <w:vAlign w:val="bottom"/>
          </w:tcPr>
          <w:p>
            <w:pPr>
              <w:spacing w:after="0"/>
              <w:rPr>
                <w:sz w:val="1"/>
                <w:szCs w:val="1"/>
                <w:color w:val="auto"/>
              </w:rPr>
            </w:pPr>
          </w:p>
        </w:tc>
      </w:tr>
      <w:tr>
        <w:trPr>
          <w:trHeight w:val="148"/>
        </w:trPr>
        <w:tc>
          <w:tcPr>
            <w:tcW w:w="290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exercise of warrants</w:t>
            </w:r>
          </w:p>
        </w:tc>
        <w:tc>
          <w:tcPr>
            <w:tcW w:w="560" w:type="dxa"/>
            <w:vAlign w:val="bottom"/>
            <w:gridSpan w:val="6"/>
            <w:shd w:val="clear" w:color="auto" w:fill="CFF0FC"/>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shd w:val="clear" w:color="auto" w:fill="CFF0FC"/>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11"/>
            <w:shd w:val="clear" w:color="auto" w:fill="CFF0FC"/>
          </w:tcPr>
          <w:p>
            <w:pPr>
              <w:jc w:val="right"/>
              <w:ind w:right="304"/>
              <w:spacing w:after="0"/>
              <w:rPr>
                <w:sz w:val="20"/>
                <w:szCs w:val="20"/>
                <w:color w:val="auto"/>
              </w:rPr>
            </w:pPr>
            <w:r>
              <w:rPr>
                <w:rFonts w:ascii="Times New Roman" w:cs="Times New Roman" w:eastAsia="Times New Roman" w:hAnsi="Times New Roman"/>
                <w:sz w:val="13"/>
                <w:szCs w:val="13"/>
                <w:color w:val="auto"/>
              </w:rPr>
              <w:t>7,505,657</w:t>
            </w:r>
          </w:p>
        </w:tc>
        <w:tc>
          <w:tcPr>
            <w:tcW w:w="560" w:type="dxa"/>
            <w:vAlign w:val="bottom"/>
            <w:gridSpan w:val="6"/>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1</w:t>
            </w:r>
          </w:p>
        </w:tc>
        <w:tc>
          <w:tcPr>
            <w:tcW w:w="600" w:type="dxa"/>
            <w:vAlign w:val="bottom"/>
            <w:gridSpan w:val="8"/>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6"/>
            <w:shd w:val="clear" w:color="auto" w:fill="CFF0FC"/>
          </w:tcPr>
          <w:p>
            <w:pPr>
              <w:jc w:val="right"/>
              <w:ind w:right="28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11"/>
            <w:shd w:val="clear" w:color="auto" w:fill="CFF0FC"/>
          </w:tcPr>
          <w:p>
            <w:pPr>
              <w:jc w:val="right"/>
              <w:ind w:right="436"/>
              <w:spacing w:after="0"/>
              <w:rPr>
                <w:sz w:val="20"/>
                <w:szCs w:val="20"/>
                <w:color w:val="auto"/>
              </w:rPr>
            </w:pPr>
            <w:r>
              <w:rPr>
                <w:rFonts w:ascii="Times New Roman" w:cs="Times New Roman" w:eastAsia="Times New Roman" w:hAnsi="Times New Roman"/>
                <w:sz w:val="13"/>
                <w:szCs w:val="13"/>
                <w:color w:val="auto"/>
              </w:rPr>
              <w:t>75,056</w:t>
            </w:r>
          </w:p>
        </w:tc>
        <w:tc>
          <w:tcPr>
            <w:tcW w:w="800" w:type="dxa"/>
            <w:vAlign w:val="bottom"/>
            <w:gridSpan w:val="8"/>
            <w:shd w:val="clear" w:color="auto" w:fill="CFF0FC"/>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75,057</w:t>
            </w:r>
          </w:p>
        </w:tc>
        <w:tc>
          <w:tcPr>
            <w:tcW w:w="0" w:type="dxa"/>
            <w:vAlign w:val="bottom"/>
          </w:tcPr>
          <w:p>
            <w:pPr>
              <w:spacing w:after="0"/>
              <w:rPr>
                <w:sz w:val="1"/>
                <w:szCs w:val="1"/>
                <w:color w:val="auto"/>
              </w:rPr>
            </w:pPr>
          </w:p>
        </w:tc>
      </w:tr>
      <w:tr>
        <w:trPr>
          <w:trHeight w:val="136"/>
        </w:trPr>
        <w:tc>
          <w:tcPr>
            <w:tcW w:w="4940" w:type="dxa"/>
            <w:vAlign w:val="bottom"/>
            <w:gridSpan w:val="22"/>
          </w:tcPr>
          <w:p>
            <w:pPr>
              <w:jc w:val="right"/>
              <w:ind w:right="4879"/>
              <w:spacing w:after="0"/>
              <w:rPr>
                <w:sz w:val="20"/>
                <w:szCs w:val="20"/>
                <w:color w:val="auto"/>
              </w:rPr>
            </w:pPr>
            <w:r>
              <w:rPr>
                <w:rFonts w:ascii="Times New Roman" w:cs="Times New Roman" w:eastAsia="Times New Roman" w:hAnsi="Times New Roman"/>
                <w:sz w:val="13"/>
                <w:szCs w:val="13"/>
                <w:color w:val="auto"/>
              </w:rPr>
              <w:t>2,854,24</w:t>
            </w:r>
          </w:p>
        </w:tc>
        <w:tc>
          <w:tcPr>
            <w:tcW w:w="320" w:type="dxa"/>
            <w:vAlign w:val="bottom"/>
            <w:gridSpan w:val="3"/>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33,</w:t>
            </w:r>
          </w:p>
        </w:tc>
        <w:tc>
          <w:tcPr>
            <w:tcW w:w="5980" w:type="dxa"/>
            <w:vAlign w:val="bottom"/>
            <w:gridSpan w:val="59"/>
          </w:tcPr>
          <w:p>
            <w:pPr>
              <w:jc w:val="right"/>
              <w:ind w:right="5160"/>
              <w:spacing w:after="0" w:line="136" w:lineRule="exact"/>
              <w:rPr>
                <w:sz w:val="20"/>
                <w:szCs w:val="20"/>
                <w:color w:val="auto"/>
              </w:rPr>
            </w:pPr>
            <w:r>
              <w:rPr>
                <w:rFonts w:ascii="Times New Roman" w:cs="Times New Roman" w:eastAsia="Times New Roman" w:hAnsi="Times New Roman"/>
                <w:sz w:val="13"/>
                <w:szCs w:val="13"/>
                <w:color w:val="auto"/>
              </w:rPr>
              <w:t>11,408,95</w:t>
            </w:r>
          </w:p>
        </w:tc>
        <w:tc>
          <w:tcPr>
            <w:tcW w:w="0" w:type="dxa"/>
            <w:vAlign w:val="bottom"/>
          </w:tcPr>
          <w:p>
            <w:pPr>
              <w:spacing w:after="0"/>
              <w:rPr>
                <w:sz w:val="1"/>
                <w:szCs w:val="1"/>
                <w:color w:val="auto"/>
              </w:rPr>
            </w:pPr>
          </w:p>
        </w:tc>
      </w:tr>
      <w:tr>
        <w:trPr>
          <w:trHeight w:val="161"/>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Merger and PIPE financing</w:t>
            </w:r>
          </w:p>
        </w:tc>
        <w:tc>
          <w:tcPr>
            <w:tcW w:w="560" w:type="dxa"/>
            <w:vAlign w:val="bottom"/>
            <w:gridSpan w:val="6"/>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6"/>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6"/>
          </w:tcPr>
          <w:p>
            <w:pPr>
              <w:jc w:val="right"/>
              <w:ind w:right="259"/>
              <w:spacing w:after="0"/>
              <w:rPr>
                <w:sz w:val="20"/>
                <w:szCs w:val="20"/>
                <w:color w:val="auto"/>
              </w:rPr>
            </w:pPr>
            <w:r>
              <w:rPr>
                <w:rFonts w:ascii="Times New Roman" w:cs="Times New Roman" w:eastAsia="Times New Roman" w:hAnsi="Times New Roman"/>
                <w:sz w:val="13"/>
                <w:szCs w:val="13"/>
                <w:color w:val="auto"/>
              </w:rPr>
              <w:t>2</w:t>
            </w:r>
          </w:p>
        </w:tc>
        <w:tc>
          <w:tcPr>
            <w:tcW w:w="1000" w:type="dxa"/>
            <w:vAlign w:val="bottom"/>
            <w:gridSpan w:val="8"/>
          </w:tcPr>
          <w:p>
            <w:pPr>
              <w:jc w:val="right"/>
              <w:ind w:right="740"/>
              <w:spacing w:after="0"/>
              <w:rPr>
                <w:sz w:val="20"/>
                <w:szCs w:val="20"/>
                <w:color w:val="auto"/>
              </w:rPr>
            </w:pPr>
            <w:r>
              <w:rPr>
                <w:rFonts w:ascii="Times New Roman" w:cs="Times New Roman" w:eastAsia="Times New Roman" w:hAnsi="Times New Roman"/>
                <w:sz w:val="13"/>
                <w:szCs w:val="13"/>
                <w:color w:val="auto"/>
              </w:rPr>
              <w:t>061</w:t>
            </w:r>
          </w:p>
        </w:tc>
        <w:tc>
          <w:tcPr>
            <w:tcW w:w="500" w:type="dxa"/>
            <w:vAlign w:val="bottom"/>
            <w:gridSpan w:val="6"/>
          </w:tcPr>
          <w:p>
            <w:pPr>
              <w:jc w:val="right"/>
              <w:ind w:right="304"/>
              <w:spacing w:after="0"/>
              <w:rPr>
                <w:sz w:val="20"/>
                <w:szCs w:val="20"/>
                <w:color w:val="auto"/>
              </w:rPr>
            </w:pPr>
            <w:r>
              <w:rPr>
                <w:rFonts w:ascii="Times New Roman" w:cs="Times New Roman" w:eastAsia="Times New Roman" w:hAnsi="Times New Roman"/>
                <w:sz w:val="13"/>
                <w:szCs w:val="13"/>
                <w:color w:val="auto"/>
              </w:rPr>
              <w:t>7</w:t>
            </w:r>
          </w:p>
        </w:tc>
        <w:tc>
          <w:tcPr>
            <w:tcW w:w="560" w:type="dxa"/>
            <w:vAlign w:val="bottom"/>
            <w:gridSpan w:val="6"/>
          </w:tcPr>
          <w:p>
            <w:pPr>
              <w:jc w:val="right"/>
              <w:ind w:right="362"/>
              <w:spacing w:after="0"/>
              <w:rPr>
                <w:sz w:val="20"/>
                <w:szCs w:val="20"/>
                <w:color w:val="auto"/>
              </w:rPr>
            </w:pPr>
            <w:r>
              <w:rPr>
                <w:rFonts w:ascii="Times New Roman" w:cs="Times New Roman" w:eastAsia="Times New Roman" w:hAnsi="Times New Roman"/>
                <w:sz w:val="13"/>
                <w:szCs w:val="13"/>
                <w:color w:val="auto"/>
              </w:rPr>
              <w:t>1</w:t>
            </w:r>
          </w:p>
        </w:tc>
        <w:tc>
          <w:tcPr>
            <w:tcW w:w="600" w:type="dxa"/>
            <w:vAlign w:val="bottom"/>
            <w:gridSpan w:val="8"/>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6"/>
          </w:tcPr>
          <w:p>
            <w:pPr>
              <w:jc w:val="right"/>
              <w:ind w:right="28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10"/>
          </w:tcPr>
          <w:p>
            <w:pPr>
              <w:jc w:val="right"/>
              <w:ind w:right="199"/>
              <w:spacing w:after="0"/>
              <w:rPr>
                <w:sz w:val="20"/>
                <w:szCs w:val="20"/>
                <w:color w:val="auto"/>
              </w:rPr>
            </w:pPr>
            <w:r>
              <w:rPr>
                <w:rFonts w:ascii="Times New Roman" w:cs="Times New Roman" w:eastAsia="Times New Roman" w:hAnsi="Times New Roman"/>
                <w:sz w:val="13"/>
                <w:szCs w:val="13"/>
                <w:color w:val="auto"/>
              </w:rPr>
              <w:t>(117,411)</w:t>
            </w:r>
          </w:p>
        </w:tc>
        <w:tc>
          <w:tcPr>
            <w:tcW w:w="980" w:type="dxa"/>
            <w:vAlign w:val="bottom"/>
            <w:gridSpan w:val="9"/>
          </w:tcPr>
          <w:p>
            <w:pPr>
              <w:jc w:val="right"/>
              <w:ind w:right="560"/>
              <w:spacing w:after="0"/>
              <w:rPr>
                <w:sz w:val="20"/>
                <w:szCs w:val="20"/>
                <w:color w:val="auto"/>
              </w:rPr>
            </w:pPr>
            <w:r>
              <w:rPr>
                <w:rFonts w:ascii="Times New Roman" w:cs="Times New Roman" w:eastAsia="Times New Roman" w:hAnsi="Times New Roman"/>
                <w:sz w:val="13"/>
                <w:szCs w:val="13"/>
                <w:color w:val="auto"/>
              </w:rPr>
              <w:t>(8,754)</w:t>
            </w:r>
          </w:p>
        </w:tc>
        <w:tc>
          <w:tcPr>
            <w:tcW w:w="500" w:type="dxa"/>
            <w:vAlign w:val="bottom"/>
            <w:gridSpan w:val="6"/>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(126,164)</w:t>
            </w:r>
          </w:p>
        </w:tc>
        <w:tc>
          <w:tcPr>
            <w:tcW w:w="0" w:type="dxa"/>
            <w:vAlign w:val="bottom"/>
          </w:tcPr>
          <w:p>
            <w:pPr>
              <w:spacing w:after="0"/>
              <w:rPr>
                <w:sz w:val="1"/>
                <w:szCs w:val="1"/>
                <w:color w:val="auto"/>
              </w:rPr>
            </w:pPr>
          </w:p>
        </w:tc>
      </w:tr>
      <w:tr>
        <w:trPr>
          <w:trHeight w:val="148"/>
        </w:trPr>
        <w:tc>
          <w:tcPr>
            <w:tcW w:w="290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Payment of Shareholder note receivable</w:t>
            </w:r>
          </w:p>
        </w:tc>
        <w:tc>
          <w:tcPr>
            <w:tcW w:w="560" w:type="dxa"/>
            <w:vAlign w:val="bottom"/>
            <w:gridSpan w:val="6"/>
            <w:shd w:val="clear" w:color="auto" w:fill="CFF0FC"/>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shd w:val="clear" w:color="auto" w:fill="CFF0FC"/>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jc w:val="right"/>
              <w:ind w:right="7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6"/>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11"/>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5"/>
            <w:shd w:val="clear" w:color="auto" w:fill="CFF0FC"/>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9"/>
            <w:shd w:val="clear" w:color="auto" w:fill="CFF0FC"/>
          </w:tcPr>
          <w:p>
            <w:pPr>
              <w:jc w:val="right"/>
              <w:ind w:right="620"/>
              <w:spacing w:after="0"/>
              <w:rPr>
                <w:sz w:val="20"/>
                <w:szCs w:val="20"/>
                <w:color w:val="auto"/>
              </w:rPr>
            </w:pPr>
            <w:r>
              <w:rPr>
                <w:rFonts w:ascii="Times New Roman" w:cs="Times New Roman" w:eastAsia="Times New Roman" w:hAnsi="Times New Roman"/>
                <w:sz w:val="13"/>
                <w:szCs w:val="13"/>
                <w:color w:val="auto"/>
              </w:rPr>
              <w:t>200</w:t>
            </w:r>
          </w:p>
        </w:tc>
        <w:tc>
          <w:tcPr>
            <w:tcW w:w="500" w:type="dxa"/>
            <w:vAlign w:val="bottom"/>
            <w:gridSpan w:val="6"/>
            <w:shd w:val="clear" w:color="auto" w:fill="CFF0FC"/>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49"/>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Issuance of common stock to advisors</w:t>
            </w:r>
          </w:p>
        </w:tc>
        <w:tc>
          <w:tcPr>
            <w:tcW w:w="560" w:type="dxa"/>
            <w:vAlign w:val="bottom"/>
            <w:gridSpan w:val="6"/>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11"/>
          </w:tcPr>
          <w:p>
            <w:pPr>
              <w:jc w:val="right"/>
              <w:ind w:right="304"/>
              <w:spacing w:after="0"/>
              <w:rPr>
                <w:sz w:val="20"/>
                <w:szCs w:val="20"/>
                <w:color w:val="auto"/>
              </w:rPr>
            </w:pPr>
            <w:r>
              <w:rPr>
                <w:rFonts w:ascii="Times New Roman" w:cs="Times New Roman" w:eastAsia="Times New Roman" w:hAnsi="Times New Roman"/>
                <w:sz w:val="13"/>
                <w:szCs w:val="13"/>
                <w:color w:val="auto"/>
              </w:rPr>
              <w:t>104,255</w:t>
            </w:r>
          </w:p>
        </w:tc>
        <w:tc>
          <w:tcPr>
            <w:tcW w:w="560" w:type="dxa"/>
            <w:vAlign w:val="bottom"/>
            <w:gridSpan w:val="6"/>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10"/>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7"/>
          </w:tcPr>
          <w:p>
            <w:pPr>
              <w:jc w:val="right"/>
              <w:ind w:right="436"/>
              <w:spacing w:after="0"/>
              <w:rPr>
                <w:sz w:val="20"/>
                <w:szCs w:val="20"/>
                <w:color w:val="auto"/>
              </w:rPr>
            </w:pPr>
            <w:r>
              <w:rPr>
                <w:rFonts w:ascii="Times New Roman" w:cs="Times New Roman" w:eastAsia="Times New Roman" w:hAnsi="Times New Roman"/>
                <w:sz w:val="13"/>
                <w:szCs w:val="13"/>
                <w:color w:val="auto"/>
              </w:rPr>
              <w:t>300</w:t>
            </w:r>
          </w:p>
        </w:tc>
        <w:tc>
          <w:tcPr>
            <w:tcW w:w="800" w:type="dxa"/>
            <w:vAlign w:val="bottom"/>
            <w:gridSpan w:val="8"/>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48"/>
        </w:trPr>
        <w:tc>
          <w:tcPr>
            <w:tcW w:w="290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Issuance of common stock warrants</w:t>
            </w:r>
          </w:p>
        </w:tc>
        <w:tc>
          <w:tcPr>
            <w:tcW w:w="560" w:type="dxa"/>
            <w:vAlign w:val="bottom"/>
            <w:gridSpan w:val="6"/>
            <w:shd w:val="clear" w:color="auto" w:fill="CFF0FC"/>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shd w:val="clear" w:color="auto" w:fill="CFF0FC"/>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jc w:val="right"/>
              <w:ind w:right="7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6"/>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10"/>
            <w:shd w:val="clear" w:color="auto" w:fill="CFF0FC"/>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7"/>
            <w:shd w:val="clear" w:color="auto" w:fill="CFF0FC"/>
          </w:tcPr>
          <w:p>
            <w:pPr>
              <w:jc w:val="right"/>
              <w:ind w:right="436"/>
              <w:spacing w:after="0"/>
              <w:rPr>
                <w:sz w:val="20"/>
                <w:szCs w:val="20"/>
                <w:color w:val="auto"/>
              </w:rPr>
            </w:pPr>
            <w:r>
              <w:rPr>
                <w:rFonts w:ascii="Times New Roman" w:cs="Times New Roman" w:eastAsia="Times New Roman" w:hAnsi="Times New Roman"/>
                <w:sz w:val="13"/>
                <w:szCs w:val="13"/>
                <w:color w:val="auto"/>
              </w:rPr>
              <w:t>167</w:t>
            </w:r>
          </w:p>
        </w:tc>
        <w:tc>
          <w:tcPr>
            <w:tcW w:w="800" w:type="dxa"/>
            <w:vAlign w:val="bottom"/>
            <w:gridSpan w:val="8"/>
            <w:shd w:val="clear" w:color="auto" w:fill="CFF0FC"/>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48"/>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Increase in redemption value</w:t>
            </w:r>
          </w:p>
        </w:tc>
        <w:tc>
          <w:tcPr>
            <w:tcW w:w="560" w:type="dxa"/>
            <w:vAlign w:val="bottom"/>
            <w:gridSpan w:val="6"/>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tcPr>
          <w:p>
            <w:pPr>
              <w:jc w:val="right"/>
              <w:ind w:right="740"/>
              <w:spacing w:after="0"/>
              <w:rPr>
                <w:sz w:val="20"/>
                <w:szCs w:val="20"/>
                <w:color w:val="auto"/>
              </w:rPr>
            </w:pPr>
            <w:r>
              <w:rPr>
                <w:rFonts w:ascii="Times New Roman" w:cs="Times New Roman" w:eastAsia="Times New Roman" w:hAnsi="Times New Roman"/>
                <w:sz w:val="13"/>
                <w:szCs w:val="13"/>
                <w:color w:val="auto"/>
              </w:rPr>
              <w:t>603</w:t>
            </w:r>
          </w:p>
        </w:tc>
        <w:tc>
          <w:tcPr>
            <w:tcW w:w="500" w:type="dxa"/>
            <w:vAlign w:val="bottom"/>
            <w:gridSpan w:val="6"/>
          </w:tcPr>
          <w:p>
            <w:pPr>
              <w:jc w:val="right"/>
              <w:ind w:right="30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6"/>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11"/>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6"/>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8"/>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800" w:type="dxa"/>
            <w:vAlign w:val="bottom"/>
            <w:gridSpan w:val="12"/>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Redemption of common stock subject to</w:t>
            </w:r>
          </w:p>
        </w:tc>
        <w:tc>
          <w:tcPr>
            <w:tcW w:w="1140" w:type="dxa"/>
            <w:vAlign w:val="bottom"/>
            <w:gridSpan w:val="10"/>
            <w:shd w:val="clear" w:color="auto" w:fill="CFF0FC"/>
          </w:tcPr>
          <w:p>
            <w:pPr>
              <w:jc w:val="right"/>
              <w:ind w:right="239"/>
              <w:spacing w:after="0" w:line="136" w:lineRule="exact"/>
              <w:rPr>
                <w:sz w:val="20"/>
                <w:szCs w:val="20"/>
                <w:color w:val="auto"/>
              </w:rPr>
            </w:pPr>
            <w:r>
              <w:rPr>
                <w:rFonts w:ascii="Times New Roman" w:cs="Times New Roman" w:eastAsia="Times New Roman" w:hAnsi="Times New Roman"/>
                <w:sz w:val="13"/>
                <w:szCs w:val="13"/>
                <w:color w:val="auto"/>
              </w:rPr>
              <w:t>(2,800,4</w:t>
            </w:r>
          </w:p>
        </w:tc>
        <w:tc>
          <w:tcPr>
            <w:tcW w:w="6300" w:type="dxa"/>
            <w:vAlign w:val="bottom"/>
            <w:gridSpan w:val="62"/>
            <w:shd w:val="clear" w:color="auto" w:fill="CFF0FC"/>
          </w:tcPr>
          <w:p>
            <w:pPr>
              <w:jc w:val="right"/>
              <w:ind w:right="6040"/>
              <w:spacing w:after="0" w:line="136"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1"/>
        </w:trPr>
        <w:tc>
          <w:tcPr>
            <w:tcW w:w="29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possible redemption</w:t>
            </w:r>
          </w:p>
        </w:tc>
        <w:tc>
          <w:tcPr>
            <w:tcW w:w="560" w:type="dxa"/>
            <w:vAlign w:val="bottom"/>
            <w:gridSpan w:val="6"/>
            <w:shd w:val="clear" w:color="auto" w:fill="CFF0FC"/>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6"/>
            <w:shd w:val="clear" w:color="auto" w:fill="CFF0FC"/>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6"/>
            <w:shd w:val="clear" w:color="auto" w:fill="CFF0FC"/>
          </w:tcPr>
          <w:p>
            <w:pPr>
              <w:jc w:val="right"/>
              <w:ind w:right="199"/>
              <w:spacing w:after="0"/>
              <w:rPr>
                <w:sz w:val="20"/>
                <w:szCs w:val="20"/>
                <w:color w:val="auto"/>
              </w:rPr>
            </w:pPr>
            <w:r>
              <w:rPr>
                <w:rFonts w:ascii="Times New Roman" w:cs="Times New Roman" w:eastAsia="Times New Roman" w:hAnsi="Times New Roman"/>
                <w:sz w:val="13"/>
                <w:szCs w:val="13"/>
                <w:color w:val="auto"/>
              </w:rPr>
              <w:t>89)</w:t>
            </w:r>
          </w:p>
        </w:tc>
        <w:tc>
          <w:tcPr>
            <w:tcW w:w="1000" w:type="dxa"/>
            <w:vAlign w:val="bottom"/>
            <w:gridSpan w:val="8"/>
            <w:shd w:val="clear" w:color="auto" w:fill="CFF0FC"/>
          </w:tcPr>
          <w:p>
            <w:pPr>
              <w:jc w:val="right"/>
              <w:ind w:right="680"/>
              <w:spacing w:after="0"/>
              <w:rPr>
                <w:sz w:val="20"/>
                <w:szCs w:val="20"/>
                <w:color w:val="auto"/>
              </w:rPr>
            </w:pPr>
            <w:r>
              <w:rPr>
                <w:rFonts w:ascii="Times New Roman" w:cs="Times New Roman" w:eastAsia="Times New Roman" w:hAnsi="Times New Roman"/>
                <w:sz w:val="13"/>
                <w:szCs w:val="13"/>
                <w:color w:val="auto"/>
              </w:rPr>
              <w:t>157)</w:t>
            </w:r>
          </w:p>
        </w:tc>
        <w:tc>
          <w:tcPr>
            <w:tcW w:w="500" w:type="dxa"/>
            <w:vAlign w:val="bottom"/>
            <w:gridSpan w:val="6"/>
            <w:shd w:val="clear" w:color="auto" w:fill="CFF0FC"/>
          </w:tcPr>
          <w:p>
            <w:pPr>
              <w:jc w:val="right"/>
              <w:ind w:right="30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6"/>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11"/>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6"/>
            <w:shd w:val="clear" w:color="auto" w:fill="CFF0FC"/>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8"/>
            <w:shd w:val="clear" w:color="auto" w:fill="CFF0FC"/>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1240" w:type="dxa"/>
            <w:vAlign w:val="bottom"/>
            <w:gridSpan w:val="84"/>
          </w:tcPr>
          <w:p>
            <w:pPr>
              <w:jc w:val="right"/>
              <w:ind w:right="11240"/>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61"/>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Lapse of redemption</w:t>
            </w:r>
          </w:p>
        </w:tc>
        <w:tc>
          <w:tcPr>
            <w:tcW w:w="560" w:type="dxa"/>
            <w:vAlign w:val="bottom"/>
            <w:gridSpan w:val="6"/>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10"/>
          </w:tcPr>
          <w:p>
            <w:pPr>
              <w:jc w:val="right"/>
              <w:ind w:right="199"/>
              <w:spacing w:after="0"/>
              <w:rPr>
                <w:sz w:val="20"/>
                <w:szCs w:val="20"/>
                <w:color w:val="auto"/>
              </w:rPr>
            </w:pPr>
            <w:r>
              <w:rPr>
                <w:rFonts w:ascii="Times New Roman" w:cs="Times New Roman" w:eastAsia="Times New Roman" w:hAnsi="Times New Roman"/>
                <w:sz w:val="13"/>
                <w:szCs w:val="13"/>
                <w:color w:val="auto"/>
              </w:rPr>
              <w:t>(53,753)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180" w:type="dxa"/>
            <w:vAlign w:val="bottom"/>
            <w:gridSpan w:val="11"/>
          </w:tcPr>
          <w:p>
            <w:pPr>
              <w:jc w:val="right"/>
              <w:ind w:right="304"/>
              <w:spacing w:after="0"/>
              <w:rPr>
                <w:sz w:val="20"/>
                <w:szCs w:val="20"/>
                <w:color w:val="auto"/>
              </w:rPr>
            </w:pPr>
            <w:r>
              <w:rPr>
                <w:rFonts w:ascii="Times New Roman" w:cs="Times New Roman" w:eastAsia="Times New Roman" w:hAnsi="Times New Roman"/>
                <w:sz w:val="13"/>
                <w:szCs w:val="13"/>
                <w:color w:val="auto"/>
              </w:rPr>
              <w:t>53,753</w:t>
            </w:r>
          </w:p>
        </w:tc>
        <w:tc>
          <w:tcPr>
            <w:tcW w:w="560" w:type="dxa"/>
            <w:vAlign w:val="bottom"/>
            <w:gridSpan w:val="6"/>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10"/>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7"/>
          </w:tcPr>
          <w:p>
            <w:pPr>
              <w:jc w:val="right"/>
              <w:ind w:right="436"/>
              <w:spacing w:after="0"/>
              <w:rPr>
                <w:sz w:val="20"/>
                <w:szCs w:val="20"/>
                <w:color w:val="auto"/>
              </w:rPr>
            </w:pPr>
            <w:r>
              <w:rPr>
                <w:rFonts w:ascii="Times New Roman" w:cs="Times New Roman" w:eastAsia="Times New Roman" w:hAnsi="Times New Roman"/>
                <w:sz w:val="13"/>
                <w:szCs w:val="13"/>
                <w:color w:val="auto"/>
              </w:rPr>
              <w:t>503</w:t>
            </w:r>
          </w:p>
        </w:tc>
        <w:tc>
          <w:tcPr>
            <w:tcW w:w="800" w:type="dxa"/>
            <w:vAlign w:val="bottom"/>
            <w:gridSpan w:val="8"/>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48"/>
        </w:trPr>
        <w:tc>
          <w:tcPr>
            <w:tcW w:w="290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gridSpan w:val="6"/>
            <w:shd w:val="clear" w:color="auto" w:fill="CFF0FC"/>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shd w:val="clear" w:color="auto" w:fill="CFF0FC"/>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jc w:val="right"/>
              <w:ind w:right="7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6"/>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6"/>
            <w:shd w:val="clear" w:color="auto" w:fill="CFF0FC"/>
          </w:tcPr>
          <w:p>
            <w:pPr>
              <w:jc w:val="right"/>
              <w:ind w:right="28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11"/>
            <w:shd w:val="clear" w:color="auto" w:fill="CFF0FC"/>
          </w:tcPr>
          <w:p>
            <w:pPr>
              <w:jc w:val="right"/>
              <w:ind w:right="436"/>
              <w:spacing w:after="0"/>
              <w:rPr>
                <w:sz w:val="20"/>
                <w:szCs w:val="20"/>
                <w:color w:val="auto"/>
              </w:rPr>
            </w:pPr>
            <w:r>
              <w:rPr>
                <w:rFonts w:ascii="Times New Roman" w:cs="Times New Roman" w:eastAsia="Times New Roman" w:hAnsi="Times New Roman"/>
                <w:sz w:val="13"/>
                <w:szCs w:val="13"/>
                <w:color w:val="auto"/>
              </w:rPr>
              <w:t>18,606</w:t>
            </w:r>
          </w:p>
        </w:tc>
        <w:tc>
          <w:tcPr>
            <w:tcW w:w="800" w:type="dxa"/>
            <w:vAlign w:val="bottom"/>
            <w:gridSpan w:val="8"/>
            <w:shd w:val="clear" w:color="auto" w:fill="CFF0FC"/>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18,606</w:t>
            </w:r>
          </w:p>
        </w:tc>
        <w:tc>
          <w:tcPr>
            <w:tcW w:w="0" w:type="dxa"/>
            <w:vAlign w:val="bottom"/>
          </w:tcPr>
          <w:p>
            <w:pPr>
              <w:spacing w:after="0"/>
              <w:rPr>
                <w:sz w:val="1"/>
                <w:szCs w:val="1"/>
                <w:color w:val="auto"/>
              </w:rPr>
            </w:pPr>
          </w:p>
        </w:tc>
      </w:tr>
      <w:tr>
        <w:trPr>
          <w:trHeight w:val="136"/>
        </w:trPr>
        <w:tc>
          <w:tcPr>
            <w:tcW w:w="11240" w:type="dxa"/>
            <w:vAlign w:val="bottom"/>
            <w:gridSpan w:val="84"/>
          </w:tcPr>
          <w:p>
            <w:pPr>
              <w:jc w:val="right"/>
              <w:ind w:right="11240"/>
              <w:spacing w:after="0"/>
              <w:rPr>
                <w:sz w:val="20"/>
                <w:szCs w:val="20"/>
                <w:color w:val="auto"/>
              </w:rPr>
            </w:pPr>
            <w:r>
              <w:rPr>
                <w:rFonts w:ascii="Times New Roman" w:cs="Times New Roman" w:eastAsia="Times New Roman" w:hAnsi="Times New Roman"/>
                <w:sz w:val="13"/>
                <w:szCs w:val="13"/>
                <w:color w:val="auto"/>
              </w:rPr>
              <w:t>(177,35</w:t>
            </w:r>
          </w:p>
        </w:tc>
        <w:tc>
          <w:tcPr>
            <w:tcW w:w="0" w:type="dxa"/>
            <w:vAlign w:val="bottom"/>
          </w:tcPr>
          <w:p>
            <w:pPr>
              <w:spacing w:after="0"/>
              <w:rPr>
                <w:sz w:val="1"/>
                <w:szCs w:val="1"/>
                <w:color w:val="auto"/>
              </w:rPr>
            </w:pPr>
          </w:p>
        </w:tc>
      </w:tr>
      <w:tr>
        <w:trPr>
          <w:trHeight w:val="161"/>
        </w:trPr>
        <w:tc>
          <w:tcPr>
            <w:tcW w:w="24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4"/>
                <w:szCs w:val="14"/>
                <w:color w:val="auto"/>
              </w:rPr>
            </w:pPr>
          </w:p>
        </w:tc>
        <w:tc>
          <w:tcPr>
            <w:tcW w:w="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4"/>
                <w:szCs w:val="14"/>
                <w:color w:val="auto"/>
              </w:rPr>
            </w:pPr>
          </w:p>
        </w:tc>
        <w:tc>
          <w:tcPr>
            <w:tcW w:w="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4"/>
                <w:szCs w:val="14"/>
                <w:color w:val="auto"/>
              </w:rPr>
            </w:pPr>
          </w:p>
        </w:tc>
        <w:tc>
          <w:tcPr>
            <w:tcW w:w="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4"/>
                <w:szCs w:val="14"/>
                <w:color w:val="auto"/>
              </w:rPr>
            </w:pPr>
          </w:p>
        </w:tc>
        <w:tc>
          <w:tcPr>
            <w:tcW w:w="4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4"/>
                <w:szCs w:val="14"/>
                <w:color w:val="auto"/>
              </w:rPr>
            </w:pPr>
          </w:p>
        </w:tc>
        <w:tc>
          <w:tcPr>
            <w:tcW w:w="4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4"/>
                <w:szCs w:val="14"/>
                <w:color w:val="auto"/>
              </w:rPr>
            </w:pPr>
          </w:p>
        </w:tc>
        <w:tc>
          <w:tcPr>
            <w:tcW w:w="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4"/>
                <w:szCs w:val="14"/>
                <w:color w:val="auto"/>
              </w:rPr>
            </w:pPr>
          </w:p>
        </w:tc>
        <w:tc>
          <w:tcPr>
            <w:tcW w:w="640" w:type="dxa"/>
            <w:vAlign w:val="bottom"/>
            <w:tcBorders>
              <w:bottom w:val="single" w:sz="8" w:color="auto"/>
            </w:tcBorders>
            <w:gridSpan w:val="6"/>
          </w:tcPr>
          <w:p>
            <w:pPr>
              <w:jc w:val="right"/>
              <w:ind w:right="593"/>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4"/>
                <w:szCs w:val="14"/>
                <w:color w:val="auto"/>
              </w:rPr>
            </w:pPr>
          </w:p>
        </w:tc>
        <w:tc>
          <w:tcPr>
            <w:tcW w:w="98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3"/>
                <w:szCs w:val="13"/>
                <w:color w:val="auto"/>
              </w:rPr>
              <w:t>(177,350)</w:t>
            </w:r>
          </w:p>
        </w:tc>
        <w:tc>
          <w:tcPr>
            <w:tcW w:w="0" w:type="dxa"/>
            <w:vAlign w:val="bottom"/>
          </w:tcPr>
          <w:p>
            <w:pPr>
              <w:spacing w:after="0"/>
              <w:rPr>
                <w:sz w:val="1"/>
                <w:szCs w:val="1"/>
                <w:color w:val="auto"/>
              </w:rPr>
            </w:pPr>
          </w:p>
        </w:tc>
      </w:tr>
      <w:tr>
        <w:trPr>
          <w:trHeight w:val="125"/>
        </w:trPr>
        <w:tc>
          <w:tcPr>
            <w:tcW w:w="9440" w:type="dxa"/>
            <w:vAlign w:val="bottom"/>
            <w:gridSpan w:val="71"/>
            <w:shd w:val="clear" w:color="auto" w:fill="CFF0FC"/>
          </w:tcPr>
          <w:p>
            <w:pPr>
              <w:jc w:val="right"/>
              <w:ind w:right="9386"/>
              <w:spacing w:after="0"/>
              <w:rPr>
                <w:sz w:val="20"/>
                <w:szCs w:val="20"/>
                <w:color w:val="auto"/>
              </w:rPr>
            </w:pPr>
            <w:r>
              <w:rPr>
                <w:rFonts w:ascii="Times New Roman" w:cs="Times New Roman" w:eastAsia="Times New Roman" w:hAnsi="Times New Roman"/>
                <w:sz w:val="13"/>
                <w:szCs w:val="13"/>
                <w:b w:val="1"/>
                <w:bCs w:val="1"/>
                <w:color w:val="auto"/>
              </w:rPr>
              <w:t>98,881,93</w:t>
            </w:r>
          </w:p>
        </w:tc>
        <w:tc>
          <w:tcPr>
            <w:tcW w:w="1800" w:type="dxa"/>
            <w:vAlign w:val="bottom"/>
            <w:gridSpan w:val="13"/>
            <w:shd w:val="clear" w:color="auto" w:fill="CFF0FC"/>
          </w:tcPr>
          <w:p>
            <w:pPr>
              <w:jc w:val="right"/>
              <w:ind w:right="1200"/>
              <w:spacing w:after="0" w:line="126" w:lineRule="exact"/>
              <w:rPr>
                <w:sz w:val="20"/>
                <w:szCs w:val="20"/>
                <w:color w:val="auto"/>
              </w:rPr>
            </w:pPr>
            <w:r>
              <w:rPr>
                <w:rFonts w:ascii="Times New Roman" w:cs="Times New Roman" w:eastAsia="Times New Roman" w:hAnsi="Times New Roman"/>
                <w:sz w:val="13"/>
                <w:szCs w:val="13"/>
                <w:b w:val="1"/>
                <w:bCs w:val="1"/>
                <w:color w:val="auto"/>
              </w:rPr>
              <w:t>(606,60</w:t>
            </w:r>
          </w:p>
        </w:tc>
        <w:tc>
          <w:tcPr>
            <w:tcW w:w="0" w:type="dxa"/>
            <w:vAlign w:val="bottom"/>
          </w:tcPr>
          <w:p>
            <w:pPr>
              <w:spacing w:after="0"/>
              <w:rPr>
                <w:sz w:val="1"/>
                <w:szCs w:val="1"/>
                <w:color w:val="auto"/>
              </w:rPr>
            </w:pPr>
          </w:p>
        </w:tc>
      </w:tr>
      <w:tr>
        <w:trPr>
          <w:trHeight w:val="205"/>
        </w:trPr>
        <w:tc>
          <w:tcPr>
            <w:tcW w:w="246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7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gridSpan w:val="3"/>
            <w:shd w:val="clear" w:color="auto" w:fill="CFF0FC"/>
          </w:tcPr>
          <w:p>
            <w:pPr>
              <w:jc w:val="right"/>
              <w:ind w:right="54"/>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gridSpan w:val="6"/>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bottom w:val="single" w:sz="8" w:color="auto"/>
            </w:tcBorders>
            <w:gridSpan w:val="4"/>
            <w:shd w:val="clear" w:color="auto" w:fill="CFF0FC"/>
          </w:tcPr>
          <w:p>
            <w:pPr>
              <w:jc w:val="right"/>
              <w:ind w:right="53"/>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780" w:type="dxa"/>
            <w:vAlign w:val="bottom"/>
            <w:tcBorders>
              <w:bottom w:val="single" w:sz="8" w:color="auto"/>
            </w:tcBorders>
            <w:gridSpan w:val="4"/>
            <w:shd w:val="clear" w:color="auto" w:fill="CFF0FC"/>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3</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380" w:type="dxa"/>
            <w:vAlign w:val="bottom"/>
            <w:tcBorders>
              <w:bottom w:val="single" w:sz="8" w:color="auto"/>
            </w:tcBorders>
            <w:gridSpan w:val="4"/>
            <w:shd w:val="clear" w:color="auto" w:fill="CFF0FC"/>
          </w:tcPr>
          <w:p>
            <w:pPr>
              <w:jc w:val="right"/>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$ 10</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480" w:type="dxa"/>
            <w:vAlign w:val="bottom"/>
            <w:tcBorders>
              <w:bottom w:val="single" w:sz="8" w:color="auto"/>
            </w:tcBorders>
            <w:gridSpan w:val="4"/>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bottom w:val="single" w:sz="8" w:color="auto"/>
            </w:tcBorders>
            <w:gridSpan w:val="4"/>
            <w:shd w:val="clear" w:color="auto" w:fill="CFF0FC"/>
          </w:tcPr>
          <w:p>
            <w:pPr>
              <w:jc w:val="right"/>
              <w:ind w:right="62"/>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tcBorders>
              <w:bottom w:val="single" w:sz="8" w:color="auto"/>
            </w:tcBorders>
            <w:gridSpan w:val="3"/>
            <w:shd w:val="clear" w:color="auto" w:fill="CFF0FC"/>
          </w:tcPr>
          <w:p>
            <w:pPr>
              <w:jc w:val="right"/>
              <w:ind w:right="58"/>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gridSpan w:val="7"/>
            <w:shd w:val="clear" w:color="auto" w:fill="CFF0FC"/>
          </w:tcPr>
          <w:p>
            <w:pPr>
              <w:jc w:val="right"/>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610,335</w:t>
            </w: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580" w:type="dxa"/>
            <w:vAlign w:val="bottom"/>
            <w:tcBorders>
              <w:bottom w:val="single" w:sz="8" w:color="auto"/>
            </w:tcBorders>
            <w:gridSpan w:val="5"/>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 (8,554)</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380" w:type="dxa"/>
            <w:vAlign w:val="bottom"/>
            <w:tcBorders>
              <w:bottom w:val="single" w:sz="8" w:color="auto"/>
            </w:tcBorders>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tcBorders>
            <w:gridSpan w:val="3"/>
            <w:shd w:val="clear" w:color="auto" w:fill="CFF0FC"/>
          </w:tcPr>
          <w:p>
            <w:pPr>
              <w:jc w:val="right"/>
              <w:ind w:right="13"/>
              <w:spacing w:after="0" w:line="146" w:lineRule="exact"/>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jc w:val="right"/>
              <w:ind w:right="5"/>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gridSpan w:val="3"/>
            <w:shd w:val="clear" w:color="auto" w:fill="CFF0FC"/>
          </w:tcPr>
          <w:p>
            <w:pPr>
              <w:jc w:val="right"/>
              <w:ind w:right="80"/>
              <w:spacing w:after="0" w:line="146" w:lineRule="exact"/>
              <w:rPr>
                <w:sz w:val="20"/>
                <w:szCs w:val="20"/>
                <w:color w:val="auto"/>
              </w:rPr>
            </w:pPr>
            <w:r>
              <w:rPr>
                <w:rFonts w:ascii="Times New Roman" w:cs="Times New Roman" w:eastAsia="Times New Roman" w:hAnsi="Times New Roman"/>
                <w:sz w:val="13"/>
                <w:szCs w:val="13"/>
                <w:b w:val="1"/>
                <w:bCs w:val="1"/>
                <w:color w:val="auto"/>
              </w:rPr>
              <w:t>(4,810)</w:t>
            </w:r>
          </w:p>
        </w:tc>
        <w:tc>
          <w:tcPr>
            <w:tcW w:w="0" w:type="dxa"/>
            <w:vAlign w:val="bottom"/>
          </w:tcPr>
          <w:p>
            <w:pPr>
              <w:spacing w:after="0"/>
              <w:rPr>
                <w:sz w:val="1"/>
                <w:szCs w:val="1"/>
                <w:color w:val="auto"/>
              </w:rPr>
            </w:pPr>
          </w:p>
        </w:tc>
      </w:tr>
      <w:tr>
        <w:trPr>
          <w:trHeight w:val="534"/>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9"/>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w w:val="98"/>
              </w:rPr>
              <w:t>Redeemable Convertible</w:t>
            </w:r>
          </w:p>
        </w:tc>
        <w:tc>
          <w:tcPr>
            <w:tcW w:w="120" w:type="dxa"/>
            <w:vAlign w:val="bottom"/>
          </w:tcPr>
          <w:p>
            <w:pPr>
              <w:spacing w:after="0"/>
              <w:rPr>
                <w:sz w:val="24"/>
                <w:szCs w:val="24"/>
                <w:color w:val="auto"/>
              </w:rPr>
            </w:pPr>
          </w:p>
        </w:tc>
        <w:tc>
          <w:tcPr>
            <w:tcW w:w="1340" w:type="dxa"/>
            <w:vAlign w:val="bottom"/>
            <w:gridSpan w:val="12"/>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Stockholder's Deficit</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7"/>
          </w:tcPr>
          <w:p>
            <w:pPr>
              <w:jc w:val="center"/>
              <w:ind w:left="139"/>
              <w:spacing w:after="0" w:line="100"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12"/>
          </w:tcPr>
          <w:p>
            <w:pPr>
              <w:jc w:val="right"/>
              <w:ind w:right="133"/>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8"/>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13"/>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96"/>
              </w:rPr>
              <w:t>Treasury Stock</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5"/>
          </w:tcPr>
          <w:p>
            <w:pPr>
              <w:jc w:val="center"/>
              <w:ind w:right="6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Additiona</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5"/>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9"/>
              </w:rPr>
              <w:t>Sharehold</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6"/>
          </w:tcPr>
          <w:p>
            <w:pPr>
              <w:jc w:val="center"/>
              <w:ind w:right="160"/>
              <w:spacing w:after="0" w:line="100" w:lineRule="exact"/>
              <w:rPr>
                <w:sz w:val="20"/>
                <w:szCs w:val="20"/>
                <w:color w:val="auto"/>
              </w:rPr>
            </w:pPr>
            <w:r>
              <w:rPr>
                <w:rFonts w:ascii="Times New Roman" w:cs="Times New Roman" w:eastAsia="Times New Roman" w:hAnsi="Times New Roman"/>
                <w:sz w:val="11"/>
                <w:szCs w:val="11"/>
                <w:b w:val="1"/>
                <w:bCs w:val="1"/>
                <w:color w:val="auto"/>
                <w:w w:val="94"/>
              </w:rPr>
              <w:t>Accumul</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8"/>
            <w:vMerge w:val="continue"/>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13"/>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70"/>
              </w:rPr>
              <w:t>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5"/>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er Note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6"/>
          </w:tcPr>
          <w:p>
            <w:pPr>
              <w:jc w:val="center"/>
              <w:ind w:right="160"/>
              <w:spacing w:after="0" w:line="124" w:lineRule="exact"/>
              <w:rPr>
                <w:sz w:val="20"/>
                <w:szCs w:val="20"/>
                <w:color w:val="auto"/>
              </w:rPr>
            </w:pPr>
            <w:r>
              <w:rPr>
                <w:rFonts w:ascii="Times New Roman" w:cs="Times New Roman" w:eastAsia="Times New Roman" w:hAnsi="Times New Roman"/>
                <w:sz w:val="11"/>
                <w:szCs w:val="11"/>
                <w:b w:val="1"/>
                <w:bCs w:val="1"/>
                <w:color w:val="auto"/>
                <w:w w:val="98"/>
              </w:rPr>
              <w:t>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99"/>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20" w:type="dxa"/>
            <w:vAlign w:val="bottom"/>
          </w:tcPr>
          <w:p>
            <w:pPr>
              <w:spacing w:after="0"/>
              <w:rPr>
                <w:sz w:val="8"/>
                <w:szCs w:val="8"/>
                <w:color w:val="auto"/>
              </w:rPr>
            </w:pPr>
          </w:p>
        </w:tc>
        <w:tc>
          <w:tcPr>
            <w:tcW w:w="12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1"/>
                <w:szCs w:val="11"/>
                <w:b w:val="1"/>
                <w:bCs w:val="1"/>
                <w:color w:val="auto"/>
              </w:rPr>
              <w:t>Amoun</w:t>
            </w:r>
          </w:p>
        </w:tc>
        <w:tc>
          <w:tcPr>
            <w:tcW w:w="240" w:type="dxa"/>
            <w:vAlign w:val="bottom"/>
            <w:gridSpan w:val="2"/>
          </w:tcPr>
          <w:p>
            <w:pPr>
              <w:spacing w:after="0"/>
              <w:rPr>
                <w:sz w:val="8"/>
                <w:szCs w:val="8"/>
                <w:color w:val="auto"/>
              </w:rPr>
            </w:pPr>
          </w:p>
        </w:tc>
        <w:tc>
          <w:tcPr>
            <w:tcW w:w="120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1"/>
                <w:szCs w:val="11"/>
                <w:b w:val="1"/>
                <w:bCs w:val="1"/>
                <w:color w:val="auto"/>
              </w:rPr>
              <w:t>Amoun</w:t>
            </w:r>
          </w:p>
        </w:tc>
        <w:tc>
          <w:tcPr>
            <w:tcW w:w="240" w:type="dxa"/>
            <w:vAlign w:val="bottom"/>
            <w:gridSpan w:val="4"/>
          </w:tcPr>
          <w:p>
            <w:pPr>
              <w:spacing w:after="0"/>
              <w:rPr>
                <w:sz w:val="8"/>
                <w:szCs w:val="8"/>
                <w:color w:val="auto"/>
              </w:rPr>
            </w:pPr>
          </w:p>
        </w:tc>
        <w:tc>
          <w:tcPr>
            <w:tcW w:w="132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1"/>
                <w:szCs w:val="11"/>
                <w:b w:val="1"/>
                <w:bCs w:val="1"/>
                <w:color w:val="auto"/>
              </w:rPr>
              <w:t>Amou</w:t>
            </w:r>
          </w:p>
        </w:tc>
        <w:tc>
          <w:tcPr>
            <w:tcW w:w="220" w:type="dxa"/>
            <w:vAlign w:val="bottom"/>
            <w:gridSpan w:val="4"/>
          </w:tcPr>
          <w:p>
            <w:pPr>
              <w:spacing w:after="0"/>
              <w:rPr>
                <w:sz w:val="8"/>
                <w:szCs w:val="8"/>
                <w:color w:val="auto"/>
              </w:rPr>
            </w:pPr>
          </w:p>
        </w:tc>
        <w:tc>
          <w:tcPr>
            <w:tcW w:w="110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1"/>
                <w:szCs w:val="11"/>
                <w:b w:val="1"/>
                <w:bCs w:val="1"/>
                <w:color w:val="auto"/>
              </w:rPr>
              <w:t>Amou</w:t>
            </w:r>
          </w:p>
        </w:tc>
        <w:tc>
          <w:tcPr>
            <w:tcW w:w="3240" w:type="dxa"/>
            <w:vAlign w:val="bottom"/>
            <w:gridSpan w:val="29"/>
          </w:tcPr>
          <w:p>
            <w:pPr>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0" w:type="dxa"/>
            <w:vAlign w:val="bottom"/>
          </w:tcPr>
          <w:p>
            <w:pPr>
              <w:spacing w:after="0"/>
              <w:rPr>
                <w:sz w:val="1"/>
                <w:szCs w:val="1"/>
                <w:color w:val="auto"/>
              </w:rPr>
            </w:pPr>
          </w:p>
        </w:tc>
      </w:tr>
      <w:tr>
        <w:trPr>
          <w:trHeight w:val="88"/>
        </w:trPr>
        <w:tc>
          <w:tcPr>
            <w:tcW w:w="24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vMerge w:val="restart"/>
          </w:tcPr>
          <w:p>
            <w:pPr>
              <w:spacing w:after="0"/>
              <w:rPr>
                <w:sz w:val="7"/>
                <w:szCs w:val="7"/>
                <w:color w:val="auto"/>
              </w:rPr>
            </w:pPr>
          </w:p>
        </w:tc>
        <w:tc>
          <w:tcPr>
            <w:tcW w:w="340" w:type="dxa"/>
            <w:vAlign w:val="bottom"/>
            <w:gridSpan w:val="4"/>
          </w:tcPr>
          <w:p>
            <w:pPr>
              <w:spacing w:after="0"/>
              <w:rPr>
                <w:sz w:val="7"/>
                <w:szCs w:val="7"/>
                <w:color w:val="auto"/>
              </w:rPr>
            </w:pPr>
          </w:p>
        </w:tc>
        <w:tc>
          <w:tcPr>
            <w:tcW w:w="220" w:type="dxa"/>
            <w:vAlign w:val="bottom"/>
            <w:vMerge w:val="restart"/>
          </w:tcPr>
          <w:p>
            <w:pPr>
              <w:jc w:val="right"/>
              <w:ind w:right="114"/>
              <w:spacing w:after="0"/>
              <w:rPr>
                <w:sz w:val="20"/>
                <w:szCs w:val="20"/>
                <w:color w:val="auto"/>
              </w:rPr>
            </w:pPr>
            <w:r>
              <w:rPr>
                <w:rFonts w:ascii="Times New Roman" w:cs="Times New Roman" w:eastAsia="Times New Roman" w:hAnsi="Times New Roman"/>
                <w:sz w:val="8"/>
                <w:szCs w:val="8"/>
                <w:b w:val="1"/>
                <w:bCs w:val="1"/>
                <w:color w:val="auto"/>
                <w:w w:val="73"/>
              </w:rPr>
              <w:t>t</w:t>
            </w:r>
          </w:p>
        </w:tc>
        <w:tc>
          <w:tcPr>
            <w:tcW w:w="120" w:type="dxa"/>
            <w:vAlign w:val="bottom"/>
            <w:vMerge w:val="restart"/>
          </w:tcPr>
          <w:p>
            <w:pPr>
              <w:spacing w:after="0"/>
              <w:rPr>
                <w:sz w:val="7"/>
                <w:szCs w:val="7"/>
                <w:color w:val="auto"/>
              </w:rPr>
            </w:pPr>
          </w:p>
        </w:tc>
        <w:tc>
          <w:tcPr>
            <w:tcW w:w="240" w:type="dxa"/>
            <w:vAlign w:val="bottom"/>
            <w:gridSpan w:val="2"/>
          </w:tcPr>
          <w:p>
            <w:pPr>
              <w:spacing w:after="0"/>
              <w:rPr>
                <w:sz w:val="7"/>
                <w:szCs w:val="7"/>
                <w:color w:val="auto"/>
              </w:rPr>
            </w:pPr>
          </w:p>
        </w:tc>
        <w:tc>
          <w:tcPr>
            <w:tcW w:w="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vMerge w:val="restart"/>
          </w:tcPr>
          <w:p>
            <w:pPr>
              <w:spacing w:after="0"/>
              <w:rPr>
                <w:sz w:val="7"/>
                <w:szCs w:val="7"/>
                <w:color w:val="auto"/>
              </w:rPr>
            </w:pPr>
          </w:p>
        </w:tc>
        <w:tc>
          <w:tcPr>
            <w:tcW w:w="180" w:type="dxa"/>
            <w:vAlign w:val="bottom"/>
            <w:gridSpan w:val="2"/>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w:t>
            </w:r>
          </w:p>
        </w:tc>
        <w:tc>
          <w:tcPr>
            <w:tcW w:w="480" w:type="dxa"/>
            <w:vAlign w:val="bottom"/>
            <w:gridSpan w:val="6"/>
          </w:tcPr>
          <w:p>
            <w:pPr>
              <w:spacing w:after="0"/>
              <w:rPr>
                <w:sz w:val="7"/>
                <w:szCs w:val="7"/>
                <w:color w:val="auto"/>
              </w:rPr>
            </w:pPr>
          </w:p>
        </w:tc>
        <w:tc>
          <w:tcPr>
            <w:tcW w:w="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6"/>
          </w:tcPr>
          <w:p>
            <w:pPr>
              <w:spacing w:after="0"/>
              <w:rPr>
                <w:sz w:val="7"/>
                <w:szCs w:val="7"/>
                <w:color w:val="auto"/>
              </w:rPr>
            </w:pPr>
          </w:p>
        </w:tc>
        <w:tc>
          <w:tcPr>
            <w:tcW w:w="240" w:type="dxa"/>
            <w:vAlign w:val="bottom"/>
            <w:vMerge w:val="restart"/>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nt</w:t>
            </w:r>
          </w:p>
        </w:tc>
        <w:tc>
          <w:tcPr>
            <w:tcW w:w="140" w:type="dxa"/>
            <w:vAlign w:val="bottom"/>
            <w:gridSpan w:val="3"/>
            <w:vMerge w:val="restart"/>
          </w:tcPr>
          <w:p>
            <w:pPr>
              <w:spacing w:after="0"/>
              <w:rPr>
                <w:sz w:val="7"/>
                <w:szCs w:val="7"/>
                <w:color w:val="auto"/>
              </w:rPr>
            </w:pPr>
          </w:p>
        </w:tc>
        <w:tc>
          <w:tcPr>
            <w:tcW w:w="180" w:type="dxa"/>
            <w:vAlign w:val="bottom"/>
            <w:gridSpan w:val="2"/>
          </w:tcPr>
          <w:p>
            <w:pPr>
              <w:spacing w:after="0"/>
              <w:rPr>
                <w:sz w:val="7"/>
                <w:szCs w:val="7"/>
                <w:color w:val="auto"/>
              </w:rPr>
            </w:pPr>
          </w:p>
        </w:tc>
        <w:tc>
          <w:tcPr>
            <w:tcW w:w="44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vMerge w:val="restart"/>
          </w:tcPr>
          <w:p>
            <w:pPr>
              <w:spacing w:after="0"/>
              <w:rPr>
                <w:sz w:val="7"/>
                <w:szCs w:val="7"/>
                <w:color w:val="auto"/>
              </w:rPr>
            </w:pPr>
          </w:p>
        </w:tc>
        <w:tc>
          <w:tcPr>
            <w:tcW w:w="240" w:type="dxa"/>
            <w:vAlign w:val="bottom"/>
            <w:gridSpan w:val="4"/>
          </w:tcPr>
          <w:p>
            <w:pPr>
              <w:spacing w:after="0"/>
              <w:rPr>
                <w:sz w:val="7"/>
                <w:szCs w:val="7"/>
                <w:color w:val="auto"/>
              </w:rPr>
            </w:pPr>
          </w:p>
        </w:tc>
        <w:tc>
          <w:tcPr>
            <w:tcW w:w="260" w:type="dxa"/>
            <w:vAlign w:val="bottom"/>
            <w:gridSpan w:val="3"/>
            <w:vMerge w:val="restart"/>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rPr>
              <w:t>nt</w:t>
            </w:r>
          </w:p>
        </w:tc>
        <w:tc>
          <w:tcPr>
            <w:tcW w:w="80" w:type="dxa"/>
            <w:vAlign w:val="bottom"/>
            <w:vMerge w:val="restart"/>
          </w:tcPr>
          <w:p>
            <w:pPr>
              <w:spacing w:after="0"/>
              <w:rPr>
                <w:sz w:val="7"/>
                <w:szCs w:val="7"/>
                <w:color w:val="auto"/>
              </w:rPr>
            </w:pPr>
          </w:p>
        </w:tc>
        <w:tc>
          <w:tcPr>
            <w:tcW w:w="200" w:type="dxa"/>
            <w:vAlign w:val="bottom"/>
            <w:gridSpan w:val="4"/>
          </w:tcPr>
          <w:p>
            <w:pPr>
              <w:spacing w:after="0"/>
              <w:rPr>
                <w:sz w:val="7"/>
                <w:szCs w:val="7"/>
                <w:color w:val="auto"/>
              </w:rPr>
            </w:pPr>
          </w:p>
        </w:tc>
        <w:tc>
          <w:tcPr>
            <w:tcW w:w="4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40" w:type="dxa"/>
            <w:vAlign w:val="bottom"/>
            <w:gridSpan w:val="2"/>
            <w:vMerge w:val="restart"/>
          </w:tcPr>
          <w:p>
            <w:pPr>
              <w:spacing w:after="0"/>
              <w:rPr>
                <w:sz w:val="7"/>
                <w:szCs w:val="7"/>
                <w:color w:val="auto"/>
              </w:rPr>
            </w:pPr>
          </w:p>
        </w:tc>
        <w:tc>
          <w:tcPr>
            <w:tcW w:w="180" w:type="dxa"/>
            <w:vAlign w:val="bottom"/>
            <w:gridSpan w:val="2"/>
          </w:tcPr>
          <w:p>
            <w:pPr>
              <w:spacing w:after="0"/>
              <w:rPr>
                <w:sz w:val="7"/>
                <w:szCs w:val="7"/>
                <w:color w:val="auto"/>
              </w:rPr>
            </w:pPr>
          </w:p>
        </w:tc>
        <w:tc>
          <w:tcPr>
            <w:tcW w:w="52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220" w:type="dxa"/>
            <w:vAlign w:val="bottom"/>
            <w:gridSpan w:val="2"/>
          </w:tcPr>
          <w:p>
            <w:pPr>
              <w:spacing w:after="0"/>
              <w:rPr>
                <w:sz w:val="7"/>
                <w:szCs w:val="7"/>
                <w:color w:val="auto"/>
              </w:rPr>
            </w:pPr>
          </w:p>
        </w:tc>
        <w:tc>
          <w:tcPr>
            <w:tcW w:w="4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gridSpan w:val="2"/>
            <w:vMerge w:val="restart"/>
          </w:tcPr>
          <w:p>
            <w:pPr>
              <w:spacing w:after="0"/>
              <w:rPr>
                <w:sz w:val="7"/>
                <w:szCs w:val="7"/>
                <w:color w:val="auto"/>
              </w:rPr>
            </w:pPr>
          </w:p>
        </w:tc>
        <w:tc>
          <w:tcPr>
            <w:tcW w:w="140" w:type="dxa"/>
            <w:vAlign w:val="bottom"/>
            <w:gridSpan w:val="2"/>
          </w:tcPr>
          <w:p>
            <w:pPr>
              <w:spacing w:after="0"/>
              <w:rPr>
                <w:sz w:val="7"/>
                <w:szCs w:val="7"/>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480" w:type="dxa"/>
            <w:vAlign w:val="bottom"/>
            <w:gridSpan w:val="3"/>
          </w:tcPr>
          <w:p>
            <w:pPr>
              <w:spacing w:after="0"/>
              <w:rPr>
                <w:sz w:val="4"/>
                <w:szCs w:val="4"/>
                <w:color w:val="auto"/>
              </w:rPr>
            </w:pPr>
          </w:p>
        </w:tc>
        <w:tc>
          <w:tcPr>
            <w:tcW w:w="580" w:type="dxa"/>
            <w:vAlign w:val="bottom"/>
            <w:tcBorders>
              <w:bottom w:val="single" w:sz="8" w:color="auto"/>
            </w:tcBorders>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4"/>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gridSpan w:val="4"/>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gridSpan w:val="4"/>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1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5"/>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60" w:type="dxa"/>
            <w:vAlign w:val="bottom"/>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gridSpan w:val="3"/>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520" w:type="dxa"/>
            <w:vAlign w:val="bottom"/>
            <w:tcBorders>
              <w:bottom w:val="single" w:sz="8" w:color="auto"/>
            </w:tcBorders>
            <w:gridSpan w:val="5"/>
            <w:vMerge w:val="continue"/>
          </w:tcPr>
          <w:p>
            <w:pPr>
              <w:spacing w:after="0"/>
              <w:rPr>
                <w:sz w:val="4"/>
                <w:szCs w:val="4"/>
                <w:color w:val="auto"/>
              </w:rPr>
            </w:pPr>
          </w:p>
        </w:tc>
        <w:tc>
          <w:tcPr>
            <w:tcW w:w="220" w:type="dxa"/>
            <w:vAlign w:val="bottom"/>
            <w:gridSpan w:val="2"/>
          </w:tcPr>
          <w:p>
            <w:pPr>
              <w:spacing w:after="0"/>
              <w:rPr>
                <w:sz w:val="4"/>
                <w:szCs w:val="4"/>
                <w:color w:val="auto"/>
              </w:rPr>
            </w:pPr>
          </w:p>
        </w:tc>
        <w:tc>
          <w:tcPr>
            <w:tcW w:w="460" w:type="dxa"/>
            <w:vAlign w:val="bottom"/>
            <w:tcBorders>
              <w:bottom w:val="single" w:sz="8" w:color="auto"/>
            </w:tcBorders>
            <w:gridSpan w:val="4"/>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46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840" w:type="dxa"/>
            <w:vAlign w:val="bottom"/>
            <w:gridSpan w:val="6"/>
            <w:shd w:val="clear" w:color="auto" w:fill="CFF0FC"/>
          </w:tcPr>
          <w:p>
            <w:pPr>
              <w:jc w:val="right"/>
              <w:ind w:right="260"/>
              <w:spacing w:after="0" w:line="129" w:lineRule="exact"/>
              <w:rPr>
                <w:sz w:val="20"/>
                <w:szCs w:val="20"/>
                <w:color w:val="auto"/>
              </w:rPr>
            </w:pPr>
            <w:r>
              <w:rPr>
                <w:rFonts w:ascii="Times New Roman" w:cs="Times New Roman" w:eastAsia="Times New Roman" w:hAnsi="Times New Roman"/>
                <w:sz w:val="13"/>
                <w:szCs w:val="13"/>
                <w:color w:val="auto"/>
              </w:rPr>
              <w:t>34,712,</w:t>
            </w:r>
          </w:p>
        </w:tc>
        <w:tc>
          <w:tcPr>
            <w:tcW w:w="4980" w:type="dxa"/>
            <w:vAlign w:val="bottom"/>
            <w:gridSpan w:val="52"/>
            <w:shd w:val="clear" w:color="auto" w:fill="CFF0FC"/>
          </w:tcPr>
          <w:p>
            <w:pPr>
              <w:jc w:val="right"/>
              <w:ind w:right="4557"/>
              <w:spacing w:after="0" w:line="129" w:lineRule="exact"/>
              <w:rPr>
                <w:sz w:val="20"/>
                <w:szCs w:val="20"/>
                <w:color w:val="auto"/>
              </w:rPr>
            </w:pPr>
            <w:r>
              <w:rPr>
                <w:rFonts w:ascii="Times New Roman" w:cs="Times New Roman" w:eastAsia="Times New Roman" w:hAnsi="Times New Roman"/>
                <w:sz w:val="13"/>
                <w:szCs w:val="13"/>
                <w:color w:val="auto"/>
              </w:rPr>
              <w:t>173,</w:t>
            </w:r>
          </w:p>
        </w:tc>
        <w:tc>
          <w:tcPr>
            <w:tcW w:w="1160" w:type="dxa"/>
            <w:vAlign w:val="bottom"/>
            <w:gridSpan w:val="11"/>
            <w:shd w:val="clear" w:color="auto" w:fill="CFF0FC"/>
          </w:tcPr>
          <w:p>
            <w:pPr>
              <w:jc w:val="right"/>
              <w:ind w:right="706"/>
              <w:spacing w:after="0" w:line="129" w:lineRule="exact"/>
              <w:rPr>
                <w:sz w:val="20"/>
                <w:szCs w:val="20"/>
                <w:color w:val="auto"/>
              </w:rPr>
            </w:pPr>
            <w:r>
              <w:rPr>
                <w:rFonts w:ascii="Times New Roman" w:cs="Times New Roman" w:eastAsia="Times New Roman" w:hAnsi="Times New Roman"/>
                <w:sz w:val="13"/>
                <w:szCs w:val="13"/>
                <w:color w:val="auto"/>
              </w:rPr>
              <w:t>141,4</w:t>
            </w:r>
          </w:p>
        </w:tc>
        <w:tc>
          <w:tcPr>
            <w:tcW w:w="1800" w:type="dxa"/>
            <w:vAlign w:val="bottom"/>
            <w:gridSpan w:val="13"/>
            <w:shd w:val="clear" w:color="auto" w:fill="CFF0FC"/>
          </w:tcPr>
          <w:p>
            <w:pPr>
              <w:jc w:val="right"/>
              <w:ind w:right="1140"/>
              <w:spacing w:after="0" w:line="129" w:lineRule="exact"/>
              <w:rPr>
                <w:sz w:val="20"/>
                <w:szCs w:val="20"/>
                <w:color w:val="auto"/>
              </w:rPr>
            </w:pPr>
            <w:r>
              <w:rPr>
                <w:rFonts w:ascii="Times New Roman" w:cs="Times New Roman" w:eastAsia="Times New Roman" w:hAnsi="Times New Roman"/>
                <w:sz w:val="13"/>
                <w:szCs w:val="13"/>
                <w:color w:val="auto"/>
              </w:rPr>
              <w:t>(368,</w:t>
            </w:r>
          </w:p>
        </w:tc>
        <w:tc>
          <w:tcPr>
            <w:tcW w:w="0" w:type="dxa"/>
            <w:vAlign w:val="bottom"/>
          </w:tcPr>
          <w:p>
            <w:pPr>
              <w:spacing w:after="0"/>
              <w:rPr>
                <w:sz w:val="1"/>
                <w:szCs w:val="1"/>
                <w:color w:val="auto"/>
              </w:rPr>
            </w:pPr>
          </w:p>
        </w:tc>
      </w:tr>
      <w:tr>
        <w:trPr>
          <w:trHeight w:val="161"/>
        </w:trPr>
        <w:tc>
          <w:tcPr>
            <w:tcW w:w="2460" w:type="dxa"/>
            <w:vAlign w:val="bottom"/>
            <w:gridSpan w:val="2"/>
            <w:vMerge w:val="continue"/>
            <w:shd w:val="clear" w:color="auto" w:fill="CFF0FC"/>
          </w:tcPr>
          <w:p>
            <w:pPr>
              <w:spacing w:after="0"/>
              <w:rPr>
                <w:sz w:val="14"/>
                <w:szCs w:val="14"/>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2"/>
              </w:rPr>
              <w:t>347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32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13,613,269</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96,887</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4"/>
            <w:shd w:val="clear" w:color="auto" w:fill="CFF0FC"/>
          </w:tcPr>
          <w:p>
            <w:pPr>
              <w:jc w:val="center"/>
              <w:ind w:left="75"/>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3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056)</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(226,560)</w:t>
            </w:r>
          </w:p>
        </w:tc>
        <w:tc>
          <w:tcPr>
            <w:tcW w:w="0" w:type="dxa"/>
            <w:vAlign w:val="bottom"/>
          </w:tcPr>
          <w:p>
            <w:pPr>
              <w:spacing w:after="0"/>
              <w:rPr>
                <w:sz w:val="1"/>
                <w:szCs w:val="1"/>
                <w:color w:val="auto"/>
              </w:rPr>
            </w:pPr>
          </w:p>
        </w:tc>
      </w:tr>
      <w:tr>
        <w:trPr>
          <w:trHeight w:val="136"/>
        </w:trPr>
        <w:tc>
          <w:tcPr>
            <w:tcW w:w="11240" w:type="dxa"/>
            <w:vAlign w:val="bottom"/>
            <w:gridSpan w:val="84"/>
          </w:tcPr>
          <w:p>
            <w:pPr>
              <w:jc w:val="right"/>
              <w:ind w:right="11240"/>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8"/>
        </w:trPr>
        <w:tc>
          <w:tcPr>
            <w:tcW w:w="3300" w:type="dxa"/>
            <w:vAlign w:val="bottom"/>
            <w:gridSpan w:val="8"/>
          </w:tcPr>
          <w:p>
            <w:pPr>
              <w:jc w:val="right"/>
              <w:ind w:right="3300"/>
              <w:spacing w:after="0"/>
              <w:rPr>
                <w:sz w:val="20"/>
                <w:szCs w:val="20"/>
                <w:color w:val="auto"/>
              </w:rPr>
            </w:pPr>
            <w:r>
              <w:rPr>
                <w:rFonts w:ascii="Times New Roman" w:cs="Times New Roman" w:eastAsia="Times New Roman" w:hAnsi="Times New Roman"/>
                <w:sz w:val="13"/>
                <w:szCs w:val="13"/>
                <w:color w:val="auto"/>
              </w:rPr>
              <w:t>(34,712</w:t>
            </w:r>
          </w:p>
        </w:tc>
        <w:tc>
          <w:tcPr>
            <w:tcW w:w="4980" w:type="dxa"/>
            <w:vAlign w:val="bottom"/>
            <w:gridSpan w:val="52"/>
          </w:tcPr>
          <w:p>
            <w:pPr>
              <w:jc w:val="right"/>
              <w:ind w:right="4557"/>
              <w:spacing w:after="0"/>
              <w:rPr>
                <w:sz w:val="20"/>
                <w:szCs w:val="20"/>
                <w:color w:val="auto"/>
              </w:rPr>
            </w:pPr>
            <w:r>
              <w:rPr>
                <w:rFonts w:ascii="Times New Roman" w:cs="Times New Roman" w:eastAsia="Times New Roman" w:hAnsi="Times New Roman"/>
                <w:sz w:val="13"/>
                <w:szCs w:val="13"/>
                <w:color w:val="auto"/>
              </w:rPr>
              <w:t>3,34</w:t>
            </w:r>
          </w:p>
        </w:tc>
        <w:tc>
          <w:tcPr>
            <w:tcW w:w="2960" w:type="dxa"/>
            <w:vAlign w:val="bottom"/>
            <w:gridSpan w:val="24"/>
          </w:tcPr>
          <w:p>
            <w:pPr>
              <w:jc w:val="right"/>
              <w:ind w:right="2560"/>
              <w:spacing w:after="0"/>
              <w:rPr>
                <w:sz w:val="20"/>
                <w:szCs w:val="20"/>
                <w:color w:val="auto"/>
              </w:rPr>
            </w:pPr>
            <w:r>
              <w:rPr>
                <w:rFonts w:ascii="Times New Roman" w:cs="Times New Roman" w:eastAsia="Times New Roman" w:hAnsi="Times New Roman"/>
                <w:sz w:val="13"/>
                <w:szCs w:val="13"/>
                <w:color w:val="auto"/>
              </w:rPr>
              <w:t>173,3</w:t>
            </w:r>
          </w:p>
        </w:tc>
        <w:tc>
          <w:tcPr>
            <w:tcW w:w="0" w:type="dxa"/>
            <w:vAlign w:val="bottom"/>
          </w:tcPr>
          <w:p>
            <w:pPr>
              <w:spacing w:after="0"/>
              <w:rPr>
                <w:sz w:val="1"/>
                <w:szCs w:val="1"/>
                <w:color w:val="auto"/>
              </w:rPr>
            </w:pPr>
          </w:p>
        </w:tc>
      </w:tr>
      <w:tr>
        <w:trPr>
          <w:trHeight w:val="161"/>
        </w:trPr>
        <w:tc>
          <w:tcPr>
            <w:tcW w:w="24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20" w:type="dxa"/>
            <w:vAlign w:val="bottom"/>
          </w:tcPr>
          <w:p>
            <w:pPr>
              <w:spacing w:after="0"/>
              <w:rPr>
                <w:sz w:val="14"/>
                <w:szCs w:val="14"/>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,525)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3"/>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34,712,525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8"/>
          </w:tcPr>
          <w:p>
            <w:pPr>
              <w:jc w:val="right"/>
              <w:spacing w:after="0"/>
              <w:rPr>
                <w:sz w:val="20"/>
                <w:szCs w:val="20"/>
                <w:color w:val="auto"/>
              </w:rPr>
            </w:pPr>
            <w:r>
              <w:rPr>
                <w:rFonts w:ascii="Times New Roman" w:cs="Times New Roman" w:eastAsia="Times New Roman" w:hAnsi="Times New Roman"/>
                <w:sz w:val="13"/>
                <w:szCs w:val="13"/>
                <w:color w:val="auto"/>
              </w:rPr>
              <w:t>(96,887)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173,347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80" w:type="dxa"/>
            <w:vAlign w:val="bottom"/>
            <w:gridSpan w:val="3"/>
            <w:shd w:val="clear" w:color="auto" w:fill="CFF0FC"/>
          </w:tcPr>
          <w:p>
            <w:pPr>
              <w:spacing w:after="0"/>
              <w:rPr>
                <w:sz w:val="11"/>
                <w:szCs w:val="11"/>
                <w:color w:val="auto"/>
              </w:rPr>
            </w:pPr>
          </w:p>
        </w:tc>
        <w:tc>
          <w:tcPr>
            <w:tcW w:w="580" w:type="dxa"/>
            <w:vAlign w:val="bottom"/>
            <w:tcBorders>
              <w:top w:val="single" w:sz="8" w:color="auto"/>
            </w:tcBorders>
            <w:gridSpan w:val="2"/>
            <w:shd w:val="clear" w:color="auto" w:fill="CFF0FC"/>
          </w:tcPr>
          <w:p>
            <w:pPr>
              <w:spacing w:after="0"/>
              <w:rPr>
                <w:sz w:val="11"/>
                <w:szCs w:val="11"/>
                <w:color w:val="auto"/>
              </w:rPr>
            </w:pPr>
          </w:p>
        </w:tc>
        <w:tc>
          <w:tcPr>
            <w:tcW w:w="240" w:type="dxa"/>
            <w:vAlign w:val="bottom"/>
            <w:gridSpan w:val="3"/>
            <w:shd w:val="clear" w:color="auto" w:fill="CFF0FC"/>
          </w:tcPr>
          <w:p>
            <w:pPr>
              <w:spacing w:after="0"/>
              <w:rPr>
                <w:sz w:val="11"/>
                <w:szCs w:val="11"/>
                <w:color w:val="auto"/>
              </w:rPr>
            </w:pPr>
          </w:p>
        </w:tc>
        <w:tc>
          <w:tcPr>
            <w:tcW w:w="380" w:type="dxa"/>
            <w:vAlign w:val="bottom"/>
            <w:tcBorders>
              <w:top w:val="single" w:sz="8" w:color="auto"/>
            </w:tcBorders>
            <w:gridSpan w:val="3"/>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tcBorders>
              <w:top w:val="single" w:sz="8" w:color="auto"/>
            </w:tcBorders>
            <w:gridSpan w:val="6"/>
            <w:shd w:val="clear" w:color="auto" w:fill="CFF0FC"/>
          </w:tcPr>
          <w:p>
            <w:pPr>
              <w:spacing w:after="0"/>
              <w:rPr>
                <w:sz w:val="11"/>
                <w:szCs w:val="11"/>
                <w:color w:val="auto"/>
              </w:rPr>
            </w:pPr>
          </w:p>
        </w:tc>
        <w:tc>
          <w:tcPr>
            <w:tcW w:w="240" w:type="dxa"/>
            <w:vAlign w:val="bottom"/>
            <w:gridSpan w:val="2"/>
            <w:shd w:val="clear" w:color="auto" w:fill="CFF0FC"/>
          </w:tcPr>
          <w:p>
            <w:pPr>
              <w:spacing w:after="0"/>
              <w:rPr>
                <w:sz w:val="11"/>
                <w:szCs w:val="11"/>
                <w:color w:val="auto"/>
              </w:rPr>
            </w:pPr>
          </w:p>
        </w:tc>
        <w:tc>
          <w:tcPr>
            <w:tcW w:w="380" w:type="dxa"/>
            <w:vAlign w:val="bottom"/>
            <w:tcBorders>
              <w:top w:val="single" w:sz="8" w:color="auto"/>
            </w:tcBorders>
            <w:gridSpan w:val="3"/>
            <w:shd w:val="clear" w:color="auto" w:fill="CFF0FC"/>
          </w:tcPr>
          <w:p>
            <w:pPr>
              <w:spacing w:after="0"/>
              <w:rPr>
                <w:sz w:val="11"/>
                <w:szCs w:val="11"/>
                <w:color w:val="auto"/>
              </w:rPr>
            </w:pPr>
          </w:p>
        </w:tc>
        <w:tc>
          <w:tcPr>
            <w:tcW w:w="240" w:type="dxa"/>
            <w:vAlign w:val="bottom"/>
            <w:gridSpan w:val="4"/>
            <w:shd w:val="clear" w:color="auto" w:fill="CFF0FC"/>
          </w:tcPr>
          <w:p>
            <w:pPr>
              <w:spacing w:after="0"/>
              <w:rPr>
                <w:sz w:val="11"/>
                <w:szCs w:val="11"/>
                <w:color w:val="auto"/>
              </w:rPr>
            </w:pPr>
          </w:p>
        </w:tc>
        <w:tc>
          <w:tcPr>
            <w:tcW w:w="800" w:type="dxa"/>
            <w:vAlign w:val="bottom"/>
            <w:tcBorders>
              <w:top w:val="single" w:sz="8" w:color="auto"/>
            </w:tcBorders>
            <w:gridSpan w:val="4"/>
            <w:shd w:val="clear" w:color="auto" w:fill="CFF0FC"/>
          </w:tcPr>
          <w:p>
            <w:pPr>
              <w:spacing w:after="0"/>
              <w:rPr>
                <w:sz w:val="11"/>
                <w:szCs w:val="11"/>
                <w:color w:val="auto"/>
              </w:rPr>
            </w:pPr>
          </w:p>
        </w:tc>
        <w:tc>
          <w:tcPr>
            <w:tcW w:w="220" w:type="dxa"/>
            <w:vAlign w:val="bottom"/>
            <w:gridSpan w:val="4"/>
            <w:shd w:val="clear" w:color="auto" w:fill="CFF0FC"/>
          </w:tcPr>
          <w:p>
            <w:pPr>
              <w:spacing w:after="0"/>
              <w:rPr>
                <w:sz w:val="11"/>
                <w:szCs w:val="11"/>
                <w:color w:val="auto"/>
              </w:rPr>
            </w:pPr>
          </w:p>
        </w:tc>
        <w:tc>
          <w:tcPr>
            <w:tcW w:w="300" w:type="dxa"/>
            <w:vAlign w:val="bottom"/>
            <w:tcBorders>
              <w:top w:val="single" w:sz="8" w:color="auto"/>
            </w:tcBorders>
            <w:gridSpan w:val="2"/>
            <w:shd w:val="clear" w:color="auto" w:fill="CFF0FC"/>
          </w:tcPr>
          <w:p>
            <w:pPr>
              <w:spacing w:after="0"/>
              <w:rPr>
                <w:sz w:val="11"/>
                <w:szCs w:val="11"/>
                <w:color w:val="auto"/>
              </w:rPr>
            </w:pPr>
          </w:p>
        </w:tc>
        <w:tc>
          <w:tcPr>
            <w:tcW w:w="220" w:type="dxa"/>
            <w:vAlign w:val="bottom"/>
            <w:gridSpan w:val="4"/>
            <w:shd w:val="clear" w:color="auto" w:fill="CFF0FC"/>
          </w:tcPr>
          <w:p>
            <w:pPr>
              <w:spacing w:after="0"/>
              <w:rPr>
                <w:sz w:val="11"/>
                <w:szCs w:val="11"/>
                <w:color w:val="auto"/>
              </w:rPr>
            </w:pPr>
          </w:p>
        </w:tc>
        <w:tc>
          <w:tcPr>
            <w:tcW w:w="540" w:type="dxa"/>
            <w:vAlign w:val="bottom"/>
            <w:tcBorders>
              <w:top w:val="single" w:sz="8" w:color="auto"/>
            </w:tcBorders>
            <w:gridSpan w:val="6"/>
            <w:shd w:val="clear" w:color="auto" w:fill="CFF0FC"/>
          </w:tcPr>
          <w:p>
            <w:pPr>
              <w:spacing w:after="0"/>
              <w:rPr>
                <w:sz w:val="11"/>
                <w:szCs w:val="11"/>
                <w:color w:val="auto"/>
              </w:rPr>
            </w:pPr>
          </w:p>
        </w:tc>
        <w:tc>
          <w:tcPr>
            <w:tcW w:w="220" w:type="dxa"/>
            <w:vAlign w:val="bottom"/>
            <w:gridSpan w:val="4"/>
            <w:shd w:val="clear" w:color="auto" w:fill="CFF0FC"/>
          </w:tcPr>
          <w:p>
            <w:pPr>
              <w:spacing w:after="0"/>
              <w:rPr>
                <w:sz w:val="11"/>
                <w:szCs w:val="11"/>
                <w:color w:val="auto"/>
              </w:rPr>
            </w:pPr>
          </w:p>
        </w:tc>
        <w:tc>
          <w:tcPr>
            <w:tcW w:w="340" w:type="dxa"/>
            <w:vAlign w:val="bottom"/>
            <w:tcBorders>
              <w:top w:val="single" w:sz="8" w:color="auto"/>
            </w:tcBorders>
            <w:gridSpan w:val="4"/>
            <w:shd w:val="clear" w:color="auto" w:fill="CFF0FC"/>
          </w:tcPr>
          <w:p>
            <w:pPr>
              <w:spacing w:after="0"/>
              <w:rPr>
                <w:sz w:val="11"/>
                <w:szCs w:val="11"/>
                <w:color w:val="auto"/>
              </w:rPr>
            </w:pPr>
          </w:p>
        </w:tc>
        <w:tc>
          <w:tcPr>
            <w:tcW w:w="100" w:type="dxa"/>
            <w:vAlign w:val="bottom"/>
            <w:gridSpan w:val="2"/>
            <w:shd w:val="clear" w:color="auto" w:fill="CFF0FC"/>
          </w:tcPr>
          <w:p>
            <w:pPr>
              <w:spacing w:after="0"/>
              <w:rPr>
                <w:sz w:val="11"/>
                <w:szCs w:val="11"/>
                <w:color w:val="auto"/>
              </w:rPr>
            </w:pPr>
          </w:p>
        </w:tc>
        <w:tc>
          <w:tcPr>
            <w:tcW w:w="600" w:type="dxa"/>
            <w:vAlign w:val="bottom"/>
            <w:tcBorders>
              <w:top w:val="single" w:sz="8" w:color="auto"/>
            </w:tcBorders>
            <w:gridSpan w:val="5"/>
            <w:shd w:val="clear" w:color="auto" w:fill="CFF0FC"/>
          </w:tcPr>
          <w:p>
            <w:pPr>
              <w:jc w:val="right"/>
              <w:ind w:right="540"/>
              <w:spacing w:after="0"/>
              <w:rPr>
                <w:sz w:val="20"/>
                <w:szCs w:val="20"/>
                <w:color w:val="auto"/>
              </w:rPr>
            </w:pPr>
            <w:r>
              <w:rPr>
                <w:rFonts w:ascii="Times New Roman" w:cs="Times New Roman" w:eastAsia="Times New Roman" w:hAnsi="Times New Roman"/>
                <w:sz w:val="13"/>
                <w:szCs w:val="13"/>
                <w:color w:val="auto"/>
              </w:rPr>
              <w:t>314,8</w:t>
            </w:r>
          </w:p>
        </w:tc>
        <w:tc>
          <w:tcPr>
            <w:tcW w:w="220" w:type="dxa"/>
            <w:vAlign w:val="bottom"/>
            <w:gridSpan w:val="4"/>
            <w:shd w:val="clear" w:color="auto" w:fill="CFF0FC"/>
          </w:tcPr>
          <w:p>
            <w:pPr>
              <w:spacing w:after="0"/>
              <w:rPr>
                <w:sz w:val="11"/>
                <w:szCs w:val="11"/>
                <w:color w:val="auto"/>
              </w:rPr>
            </w:pPr>
          </w:p>
        </w:tc>
        <w:tc>
          <w:tcPr>
            <w:tcW w:w="520" w:type="dxa"/>
            <w:vAlign w:val="bottom"/>
            <w:tcBorders>
              <w:top w:val="single" w:sz="8" w:color="auto"/>
            </w:tcBorders>
            <w:gridSpan w:val="5"/>
            <w:shd w:val="clear" w:color="auto" w:fill="CFF0FC"/>
          </w:tcPr>
          <w:p>
            <w:pPr>
              <w:spacing w:after="0"/>
              <w:rPr>
                <w:sz w:val="11"/>
                <w:szCs w:val="11"/>
                <w:color w:val="auto"/>
              </w:rPr>
            </w:pPr>
          </w:p>
        </w:tc>
        <w:tc>
          <w:tcPr>
            <w:tcW w:w="220" w:type="dxa"/>
            <w:vAlign w:val="bottom"/>
            <w:gridSpan w:val="2"/>
            <w:shd w:val="clear" w:color="auto" w:fill="CFF0FC"/>
          </w:tcPr>
          <w:p>
            <w:pPr>
              <w:spacing w:after="0"/>
              <w:rPr>
                <w:sz w:val="11"/>
                <w:szCs w:val="11"/>
                <w:color w:val="auto"/>
              </w:rPr>
            </w:pPr>
          </w:p>
        </w:tc>
        <w:tc>
          <w:tcPr>
            <w:tcW w:w="460" w:type="dxa"/>
            <w:vAlign w:val="bottom"/>
            <w:tcBorders>
              <w:top w:val="single" w:sz="8" w:color="auto"/>
            </w:tcBorders>
            <w:gridSpan w:val="4"/>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(368,</w:t>
            </w:r>
          </w:p>
        </w:tc>
        <w:tc>
          <w:tcPr>
            <w:tcW w:w="220" w:type="dxa"/>
            <w:vAlign w:val="bottom"/>
            <w:gridSpan w:val="3"/>
            <w:shd w:val="clear" w:color="auto" w:fill="CFF0FC"/>
          </w:tcPr>
          <w:p>
            <w:pPr>
              <w:spacing w:after="0"/>
              <w:rPr>
                <w:sz w:val="11"/>
                <w:szCs w:val="11"/>
                <w:color w:val="auto"/>
              </w:rPr>
            </w:pPr>
          </w:p>
        </w:tc>
        <w:tc>
          <w:tcPr>
            <w:tcW w:w="800" w:type="dxa"/>
            <w:vAlign w:val="bottom"/>
            <w:tcBorders>
              <w:top w:val="single" w:sz="8" w:color="auto"/>
            </w:tcBorders>
            <w:gridSpan w:val="3"/>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00" w:type="dxa"/>
            <w:vAlign w:val="bottom"/>
            <w:gridSpan w:val="4"/>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560" w:type="dxa"/>
            <w:vAlign w:val="bottom"/>
            <w:gridSpan w:val="6"/>
            <w:shd w:val="clear" w:color="auto" w:fill="CFF0FC"/>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6"/>
            <w:shd w:val="clear" w:color="auto" w:fill="CFF0FC"/>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6"/>
            <w:shd w:val="clear" w:color="auto" w:fill="CFF0FC"/>
          </w:tcPr>
          <w:p>
            <w:pPr>
              <w:jc w:val="right"/>
              <w:ind w:right="37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11"/>
            <w:shd w:val="clear" w:color="auto" w:fill="CFF0FC"/>
          </w:tcPr>
          <w:p>
            <w:pPr>
              <w:jc w:val="right"/>
              <w:ind w:right="244"/>
              <w:spacing w:after="0"/>
              <w:rPr>
                <w:sz w:val="20"/>
                <w:szCs w:val="20"/>
                <w:color w:val="auto"/>
              </w:rPr>
            </w:pPr>
            <w:r>
              <w:rPr>
                <w:rFonts w:ascii="Times New Roman" w:cs="Times New Roman" w:eastAsia="Times New Roman" w:hAnsi="Times New Roman"/>
                <w:sz w:val="13"/>
                <w:szCs w:val="13"/>
                <w:color w:val="auto"/>
              </w:rPr>
              <w:t>48,325,794</w:t>
            </w:r>
          </w:p>
        </w:tc>
        <w:tc>
          <w:tcPr>
            <w:tcW w:w="860" w:type="dxa"/>
            <w:vAlign w:val="bottom"/>
            <w:gridSpan w:val="8"/>
            <w:shd w:val="clear" w:color="auto" w:fill="CFF0FC"/>
          </w:tcPr>
          <w:p>
            <w:pPr>
              <w:jc w:val="right"/>
              <w:ind w:right="575"/>
              <w:spacing w:after="0"/>
              <w:rPr>
                <w:sz w:val="20"/>
                <w:szCs w:val="20"/>
                <w:color w:val="auto"/>
              </w:rPr>
            </w:pPr>
            <w:r>
              <w:rPr>
                <w:rFonts w:ascii="Times New Roman" w:cs="Times New Roman" w:eastAsia="Times New Roman" w:hAnsi="Times New Roman"/>
                <w:sz w:val="13"/>
                <w:szCs w:val="13"/>
                <w:color w:val="auto"/>
              </w:rPr>
              <w:t>5</w:t>
            </w:r>
          </w:p>
        </w:tc>
        <w:tc>
          <w:tcPr>
            <w:tcW w:w="560" w:type="dxa"/>
            <w:vAlign w:val="bottom"/>
            <w:gridSpan w:val="9"/>
            <w:shd w:val="clear" w:color="auto" w:fill="CFF0FC"/>
          </w:tcPr>
          <w:p>
            <w:pPr>
              <w:jc w:val="right"/>
              <w:ind w:right="3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jc w:val="right"/>
              <w:ind w:right="533"/>
              <w:spacing w:after="0"/>
              <w:rPr>
                <w:sz w:val="20"/>
                <w:szCs w:val="20"/>
                <w:color w:val="auto"/>
              </w:rPr>
            </w:pPr>
            <w:r>
              <w:rPr>
                <w:rFonts w:ascii="Times New Roman" w:cs="Times New Roman" w:eastAsia="Times New Roman" w:hAnsi="Times New Roman"/>
                <w:sz w:val="13"/>
                <w:szCs w:val="13"/>
                <w:color w:val="auto"/>
              </w:rPr>
              <w:t>38</w:t>
            </w:r>
          </w:p>
        </w:tc>
        <w:tc>
          <w:tcPr>
            <w:tcW w:w="620" w:type="dxa"/>
            <w:vAlign w:val="bottom"/>
            <w:gridSpan w:val="7"/>
            <w:shd w:val="clear" w:color="auto" w:fill="CFF0FC"/>
          </w:tcPr>
          <w:p>
            <w:pPr>
              <w:jc w:val="center"/>
              <w:ind w:righ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185"/>
              <w:spacing w:after="0"/>
              <w:rPr>
                <w:sz w:val="20"/>
                <w:szCs w:val="20"/>
                <w:color w:val="auto"/>
              </w:rPr>
            </w:pPr>
            <w:r>
              <w:rPr>
                <w:rFonts w:ascii="Times New Roman" w:cs="Times New Roman" w:eastAsia="Times New Roman" w:hAnsi="Times New Roman"/>
                <w:sz w:val="13"/>
                <w:szCs w:val="13"/>
                <w:color w:val="auto"/>
              </w:rPr>
              <w:t>056)</w:t>
            </w:r>
          </w:p>
        </w:tc>
        <w:tc>
          <w:tcPr>
            <w:tcW w:w="8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(53,213)</w:t>
            </w:r>
          </w:p>
        </w:tc>
        <w:tc>
          <w:tcPr>
            <w:tcW w:w="0" w:type="dxa"/>
            <w:vAlign w:val="bottom"/>
          </w:tcPr>
          <w:p>
            <w:pPr>
              <w:spacing w:after="0"/>
              <w:rPr>
                <w:sz w:val="1"/>
                <w:szCs w:val="1"/>
                <w:color w:val="auto"/>
              </w:rPr>
            </w:pPr>
          </w:p>
        </w:tc>
      </w:tr>
      <w:tr>
        <w:trPr>
          <w:trHeight w:val="149"/>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560" w:type="dxa"/>
            <w:vAlign w:val="bottom"/>
            <w:gridSpan w:val="6"/>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6"/>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6"/>
          </w:tcPr>
          <w:p>
            <w:pPr>
              <w:jc w:val="right"/>
              <w:ind w:right="37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11"/>
          </w:tcPr>
          <w:p>
            <w:pPr>
              <w:jc w:val="right"/>
              <w:ind w:right="244"/>
              <w:spacing w:after="0"/>
              <w:rPr>
                <w:sz w:val="20"/>
                <w:szCs w:val="20"/>
                <w:color w:val="auto"/>
              </w:rPr>
            </w:pPr>
            <w:r>
              <w:rPr>
                <w:rFonts w:ascii="Times New Roman" w:cs="Times New Roman" w:eastAsia="Times New Roman" w:hAnsi="Times New Roman"/>
                <w:sz w:val="13"/>
                <w:szCs w:val="13"/>
                <w:color w:val="auto"/>
              </w:rPr>
              <w:t>20,437</w:t>
            </w:r>
          </w:p>
        </w:tc>
        <w:tc>
          <w:tcPr>
            <w:tcW w:w="860" w:type="dxa"/>
            <w:vAlign w:val="bottom"/>
            <w:gridSpan w:val="8"/>
          </w:tcPr>
          <w:p>
            <w:pPr>
              <w:jc w:val="right"/>
              <w:ind w:right="57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9"/>
          </w:tcPr>
          <w:p>
            <w:pPr>
              <w:jc w:val="right"/>
              <w:ind w:right="3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tcPr>
          <w:p>
            <w:pPr>
              <w:jc w:val="right"/>
              <w:ind w:right="533"/>
              <w:spacing w:after="0"/>
              <w:rPr>
                <w:sz w:val="20"/>
                <w:szCs w:val="20"/>
                <w:color w:val="auto"/>
              </w:rPr>
            </w:pPr>
            <w:r>
              <w:rPr>
                <w:rFonts w:ascii="Times New Roman" w:cs="Times New Roman" w:eastAsia="Times New Roman" w:hAnsi="Times New Roman"/>
                <w:sz w:val="13"/>
                <w:szCs w:val="13"/>
                <w:color w:val="auto"/>
              </w:rPr>
              <w:t>42</w:t>
            </w:r>
          </w:p>
        </w:tc>
        <w:tc>
          <w:tcPr>
            <w:tcW w:w="620" w:type="dxa"/>
            <w:vAlign w:val="bottom"/>
            <w:gridSpan w:val="7"/>
          </w:tcPr>
          <w:p>
            <w:pPr>
              <w:jc w:val="center"/>
              <w:ind w:righ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24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48"/>
        </w:trPr>
        <w:tc>
          <w:tcPr>
            <w:tcW w:w="290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gridSpan w:val="6"/>
            <w:shd w:val="clear" w:color="auto" w:fill="CFF0FC"/>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6"/>
            <w:shd w:val="clear" w:color="auto" w:fill="CFF0FC"/>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6"/>
            <w:shd w:val="clear" w:color="auto" w:fill="CFF0FC"/>
          </w:tcPr>
          <w:p>
            <w:pPr>
              <w:jc w:val="right"/>
              <w:ind w:right="37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24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8"/>
            <w:shd w:val="clear" w:color="auto" w:fill="CFF0FC"/>
          </w:tcPr>
          <w:p>
            <w:pPr>
              <w:jc w:val="right"/>
              <w:ind w:right="57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9"/>
            <w:shd w:val="clear" w:color="auto" w:fill="CFF0FC"/>
          </w:tcPr>
          <w:p>
            <w:pPr>
              <w:jc w:val="right"/>
              <w:ind w:right="3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jc w:val="right"/>
              <w:ind w:right="533"/>
              <w:spacing w:after="0"/>
              <w:rPr>
                <w:sz w:val="20"/>
                <w:szCs w:val="20"/>
                <w:color w:val="auto"/>
              </w:rPr>
            </w:pPr>
            <w:r>
              <w:rPr>
                <w:rFonts w:ascii="Times New Roman" w:cs="Times New Roman" w:eastAsia="Times New Roman" w:hAnsi="Times New Roman"/>
                <w:sz w:val="13"/>
                <w:szCs w:val="13"/>
                <w:color w:val="auto"/>
              </w:rPr>
              <w:t>683</w:t>
            </w:r>
          </w:p>
        </w:tc>
        <w:tc>
          <w:tcPr>
            <w:tcW w:w="620" w:type="dxa"/>
            <w:vAlign w:val="bottom"/>
            <w:gridSpan w:val="7"/>
            <w:shd w:val="clear" w:color="auto" w:fill="CFF0FC"/>
          </w:tcPr>
          <w:p>
            <w:pPr>
              <w:jc w:val="center"/>
              <w:ind w:righ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24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683</w:t>
            </w:r>
          </w:p>
        </w:tc>
        <w:tc>
          <w:tcPr>
            <w:tcW w:w="0" w:type="dxa"/>
            <w:vAlign w:val="bottom"/>
          </w:tcPr>
          <w:p>
            <w:pPr>
              <w:spacing w:after="0"/>
              <w:rPr>
                <w:sz w:val="1"/>
                <w:szCs w:val="1"/>
                <w:color w:val="auto"/>
              </w:rPr>
            </w:pPr>
          </w:p>
        </w:tc>
      </w:tr>
      <w:tr>
        <w:trPr>
          <w:trHeight w:val="136"/>
        </w:trPr>
        <w:tc>
          <w:tcPr>
            <w:tcW w:w="11240" w:type="dxa"/>
            <w:vAlign w:val="bottom"/>
            <w:gridSpan w:val="84"/>
          </w:tcPr>
          <w:p>
            <w:pPr>
              <w:jc w:val="right"/>
              <w:ind w:right="11240"/>
              <w:spacing w:after="0"/>
              <w:rPr>
                <w:sz w:val="20"/>
                <w:szCs w:val="20"/>
                <w:color w:val="auto"/>
              </w:rPr>
            </w:pPr>
            <w:r>
              <w:rPr>
                <w:rFonts w:ascii="Times New Roman" w:cs="Times New Roman" w:eastAsia="Times New Roman" w:hAnsi="Times New Roman"/>
                <w:sz w:val="13"/>
                <w:szCs w:val="13"/>
                <w:color w:val="auto"/>
              </w:rPr>
              <w:t>(28,8</w:t>
            </w:r>
          </w:p>
        </w:tc>
        <w:tc>
          <w:tcPr>
            <w:tcW w:w="0" w:type="dxa"/>
            <w:vAlign w:val="bottom"/>
          </w:tcPr>
          <w:p>
            <w:pPr>
              <w:spacing w:after="0"/>
              <w:rPr>
                <w:sz w:val="1"/>
                <w:szCs w:val="1"/>
                <w:color w:val="auto"/>
              </w:rPr>
            </w:pPr>
          </w:p>
        </w:tc>
      </w:tr>
      <w:tr>
        <w:trPr>
          <w:trHeight w:val="161"/>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gridSpan w:val="6"/>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6"/>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6"/>
          </w:tcPr>
          <w:p>
            <w:pPr>
              <w:jc w:val="right"/>
              <w:ind w:right="37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6"/>
          </w:tcPr>
          <w:p>
            <w:pPr>
              <w:jc w:val="right"/>
              <w:ind w:right="24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8"/>
          </w:tcPr>
          <w:p>
            <w:pPr>
              <w:jc w:val="right"/>
              <w:ind w:right="57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9"/>
          </w:tcPr>
          <w:p>
            <w:pPr>
              <w:jc w:val="right"/>
              <w:ind w:right="358"/>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8"/>
          </w:tcPr>
          <w:p>
            <w:pPr>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7"/>
          </w:tcPr>
          <w:p>
            <w:pPr>
              <w:jc w:val="right"/>
              <w:ind w:right="533"/>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7"/>
          </w:tcPr>
          <w:p>
            <w:pPr>
              <w:jc w:val="center"/>
              <w:ind w:righ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185"/>
              <w:spacing w:after="0"/>
              <w:rPr>
                <w:sz w:val="20"/>
                <w:szCs w:val="20"/>
                <w:color w:val="auto"/>
              </w:rPr>
            </w:pPr>
            <w:r>
              <w:rPr>
                <w:rFonts w:ascii="Times New Roman" w:cs="Times New Roman" w:eastAsia="Times New Roman" w:hAnsi="Times New Roman"/>
                <w:sz w:val="13"/>
                <w:szCs w:val="13"/>
                <w:color w:val="auto"/>
              </w:rPr>
              <w:t>96)</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(28,896)</w:t>
            </w:r>
          </w:p>
        </w:tc>
        <w:tc>
          <w:tcPr>
            <w:tcW w:w="0" w:type="dxa"/>
            <w:vAlign w:val="bottom"/>
          </w:tcPr>
          <w:p>
            <w:pPr>
              <w:spacing w:after="0"/>
              <w:rPr>
                <w:sz w:val="1"/>
                <w:szCs w:val="1"/>
                <w:color w:val="auto"/>
              </w:rPr>
            </w:pPr>
          </w:p>
        </w:tc>
      </w:tr>
      <w:tr>
        <w:trPr>
          <w:trHeight w:val="125"/>
        </w:trPr>
        <w:tc>
          <w:tcPr>
            <w:tcW w:w="2480" w:type="dxa"/>
            <w:vAlign w:val="bottom"/>
            <w:gridSpan w:val="3"/>
            <w:shd w:val="clear" w:color="auto" w:fill="CFF0FC"/>
          </w:tcPr>
          <w:p>
            <w:pPr>
              <w:spacing w:after="0"/>
              <w:rPr>
                <w:sz w:val="10"/>
                <w:szCs w:val="10"/>
                <w:color w:val="auto"/>
              </w:rPr>
            </w:pPr>
          </w:p>
        </w:tc>
        <w:tc>
          <w:tcPr>
            <w:tcW w:w="580" w:type="dxa"/>
            <w:vAlign w:val="bottom"/>
            <w:tcBorders>
              <w:top w:val="single" w:sz="8" w:color="auto"/>
            </w:tcBorders>
            <w:gridSpan w:val="2"/>
            <w:shd w:val="clear" w:color="auto" w:fill="CFF0FC"/>
          </w:tcPr>
          <w:p>
            <w:pPr>
              <w:spacing w:after="0"/>
              <w:rPr>
                <w:sz w:val="10"/>
                <w:szCs w:val="10"/>
                <w:color w:val="auto"/>
              </w:rPr>
            </w:pPr>
          </w:p>
        </w:tc>
        <w:tc>
          <w:tcPr>
            <w:tcW w:w="240" w:type="dxa"/>
            <w:vAlign w:val="bottom"/>
            <w:gridSpan w:val="3"/>
            <w:shd w:val="clear" w:color="auto" w:fill="CFF0FC"/>
          </w:tcPr>
          <w:p>
            <w:pPr>
              <w:spacing w:after="0"/>
              <w:rPr>
                <w:sz w:val="10"/>
                <w:szCs w:val="10"/>
                <w:color w:val="auto"/>
              </w:rPr>
            </w:pPr>
          </w:p>
        </w:tc>
        <w:tc>
          <w:tcPr>
            <w:tcW w:w="380" w:type="dxa"/>
            <w:vAlign w:val="bottom"/>
            <w:tcBorders>
              <w:top w:val="single" w:sz="8" w:color="auto"/>
            </w:tcBorders>
            <w:gridSpan w:val="3"/>
            <w:shd w:val="clear" w:color="auto" w:fill="CFF0FC"/>
          </w:tcPr>
          <w:p>
            <w:pPr>
              <w:spacing w:after="0"/>
              <w:rPr>
                <w:sz w:val="10"/>
                <w:szCs w:val="10"/>
                <w:color w:val="auto"/>
              </w:rPr>
            </w:pPr>
          </w:p>
        </w:tc>
        <w:tc>
          <w:tcPr>
            <w:tcW w:w="240" w:type="dxa"/>
            <w:vAlign w:val="bottom"/>
            <w:gridSpan w:val="2"/>
            <w:shd w:val="clear" w:color="auto" w:fill="CFF0FC"/>
          </w:tcPr>
          <w:p>
            <w:pPr>
              <w:spacing w:after="0"/>
              <w:rPr>
                <w:sz w:val="10"/>
                <w:szCs w:val="10"/>
                <w:color w:val="auto"/>
              </w:rPr>
            </w:pPr>
          </w:p>
        </w:tc>
        <w:tc>
          <w:tcPr>
            <w:tcW w:w="580" w:type="dxa"/>
            <w:vAlign w:val="bottom"/>
            <w:tcBorders>
              <w:top w:val="single" w:sz="8" w:color="auto"/>
            </w:tcBorders>
            <w:gridSpan w:val="5"/>
            <w:shd w:val="clear" w:color="auto" w:fill="CFF0FC"/>
          </w:tcPr>
          <w:p>
            <w:pPr>
              <w:spacing w:after="0"/>
              <w:rPr>
                <w:sz w:val="10"/>
                <w:szCs w:val="10"/>
                <w:color w:val="auto"/>
              </w:rPr>
            </w:pPr>
          </w:p>
        </w:tc>
        <w:tc>
          <w:tcPr>
            <w:tcW w:w="240" w:type="dxa"/>
            <w:vAlign w:val="bottom"/>
            <w:gridSpan w:val="2"/>
            <w:shd w:val="clear" w:color="auto" w:fill="CFF0FC"/>
          </w:tcPr>
          <w:p>
            <w:pPr>
              <w:spacing w:after="0"/>
              <w:rPr>
                <w:sz w:val="10"/>
                <w:szCs w:val="10"/>
                <w:color w:val="auto"/>
              </w:rPr>
            </w:pPr>
          </w:p>
        </w:tc>
        <w:tc>
          <w:tcPr>
            <w:tcW w:w="380" w:type="dxa"/>
            <w:vAlign w:val="bottom"/>
            <w:tcBorders>
              <w:top w:val="single" w:sz="8" w:color="auto"/>
            </w:tcBorders>
            <w:gridSpan w:val="3"/>
            <w:shd w:val="clear" w:color="auto" w:fill="CFF0FC"/>
          </w:tcPr>
          <w:p>
            <w:pPr>
              <w:spacing w:after="0"/>
              <w:rPr>
                <w:sz w:val="10"/>
                <w:szCs w:val="10"/>
                <w:color w:val="auto"/>
              </w:rPr>
            </w:pPr>
          </w:p>
        </w:tc>
        <w:tc>
          <w:tcPr>
            <w:tcW w:w="240" w:type="dxa"/>
            <w:vAlign w:val="bottom"/>
            <w:gridSpan w:val="4"/>
            <w:shd w:val="clear" w:color="auto" w:fill="CFF0FC"/>
          </w:tcPr>
          <w:p>
            <w:pPr>
              <w:spacing w:after="0"/>
              <w:rPr>
                <w:sz w:val="10"/>
                <w:szCs w:val="10"/>
                <w:color w:val="auto"/>
              </w:rPr>
            </w:pPr>
          </w:p>
        </w:tc>
        <w:tc>
          <w:tcPr>
            <w:tcW w:w="800" w:type="dxa"/>
            <w:vAlign w:val="bottom"/>
            <w:tcBorders>
              <w:top w:val="single" w:sz="8" w:color="auto"/>
            </w:tcBorders>
            <w:gridSpan w:val="4"/>
            <w:shd w:val="clear" w:color="auto" w:fill="CFF0FC"/>
          </w:tcPr>
          <w:p>
            <w:pPr>
              <w:spacing w:after="0"/>
              <w:rPr>
                <w:sz w:val="10"/>
                <w:szCs w:val="10"/>
                <w:color w:val="auto"/>
              </w:rPr>
            </w:pPr>
          </w:p>
        </w:tc>
        <w:tc>
          <w:tcPr>
            <w:tcW w:w="220" w:type="dxa"/>
            <w:vAlign w:val="bottom"/>
            <w:gridSpan w:val="4"/>
            <w:shd w:val="clear" w:color="auto" w:fill="CFF0FC"/>
          </w:tcPr>
          <w:p>
            <w:pPr>
              <w:spacing w:after="0"/>
              <w:rPr>
                <w:sz w:val="10"/>
                <w:szCs w:val="10"/>
                <w:color w:val="auto"/>
              </w:rPr>
            </w:pPr>
          </w:p>
        </w:tc>
        <w:tc>
          <w:tcPr>
            <w:tcW w:w="300" w:type="dxa"/>
            <w:vAlign w:val="bottom"/>
            <w:tcBorders>
              <w:top w:val="single" w:sz="8" w:color="auto"/>
            </w:tcBorders>
            <w:gridSpan w:val="2"/>
            <w:shd w:val="clear" w:color="auto" w:fill="CFF0FC"/>
          </w:tcPr>
          <w:p>
            <w:pPr>
              <w:spacing w:after="0"/>
              <w:rPr>
                <w:sz w:val="10"/>
                <w:szCs w:val="10"/>
                <w:color w:val="auto"/>
              </w:rPr>
            </w:pPr>
          </w:p>
        </w:tc>
        <w:tc>
          <w:tcPr>
            <w:tcW w:w="220" w:type="dxa"/>
            <w:vAlign w:val="bottom"/>
            <w:gridSpan w:val="4"/>
            <w:shd w:val="clear" w:color="auto" w:fill="CFF0FC"/>
          </w:tcPr>
          <w:p>
            <w:pPr>
              <w:spacing w:after="0"/>
              <w:rPr>
                <w:sz w:val="10"/>
                <w:szCs w:val="10"/>
                <w:color w:val="auto"/>
              </w:rPr>
            </w:pPr>
          </w:p>
        </w:tc>
        <w:tc>
          <w:tcPr>
            <w:tcW w:w="540" w:type="dxa"/>
            <w:vAlign w:val="bottom"/>
            <w:tcBorders>
              <w:top w:val="single" w:sz="8" w:color="auto"/>
            </w:tcBorders>
            <w:gridSpan w:val="6"/>
            <w:shd w:val="clear" w:color="auto" w:fill="CFF0FC"/>
          </w:tcPr>
          <w:p>
            <w:pPr>
              <w:spacing w:after="0"/>
              <w:rPr>
                <w:sz w:val="10"/>
                <w:szCs w:val="10"/>
                <w:color w:val="auto"/>
              </w:rPr>
            </w:pPr>
          </w:p>
        </w:tc>
        <w:tc>
          <w:tcPr>
            <w:tcW w:w="220" w:type="dxa"/>
            <w:vAlign w:val="bottom"/>
            <w:gridSpan w:val="4"/>
            <w:shd w:val="clear" w:color="auto" w:fill="CFF0FC"/>
          </w:tcPr>
          <w:p>
            <w:pPr>
              <w:spacing w:after="0"/>
              <w:rPr>
                <w:sz w:val="10"/>
                <w:szCs w:val="10"/>
                <w:color w:val="auto"/>
              </w:rPr>
            </w:pPr>
          </w:p>
        </w:tc>
        <w:tc>
          <w:tcPr>
            <w:tcW w:w="340" w:type="dxa"/>
            <w:vAlign w:val="bottom"/>
            <w:tcBorders>
              <w:top w:val="single" w:sz="8" w:color="auto"/>
            </w:tcBorders>
            <w:gridSpan w:val="4"/>
            <w:shd w:val="clear" w:color="auto" w:fill="CFF0FC"/>
          </w:tcPr>
          <w:p>
            <w:pPr>
              <w:spacing w:after="0"/>
              <w:rPr>
                <w:sz w:val="10"/>
                <w:szCs w:val="10"/>
                <w:color w:val="auto"/>
              </w:rPr>
            </w:pPr>
          </w:p>
        </w:tc>
        <w:tc>
          <w:tcPr>
            <w:tcW w:w="220" w:type="dxa"/>
            <w:vAlign w:val="bottom"/>
            <w:gridSpan w:val="4"/>
            <w:shd w:val="clear" w:color="auto" w:fill="CFF0FC"/>
          </w:tcPr>
          <w:p>
            <w:pPr>
              <w:spacing w:after="0"/>
              <w:rPr>
                <w:sz w:val="10"/>
                <w:szCs w:val="10"/>
                <w:color w:val="auto"/>
              </w:rPr>
            </w:pPr>
          </w:p>
        </w:tc>
        <w:tc>
          <w:tcPr>
            <w:tcW w:w="480" w:type="dxa"/>
            <w:vAlign w:val="bottom"/>
            <w:tcBorders>
              <w:top w:val="single" w:sz="8" w:color="auto"/>
            </w:tcBorders>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315,5</w:t>
            </w:r>
          </w:p>
        </w:tc>
        <w:tc>
          <w:tcPr>
            <w:tcW w:w="220" w:type="dxa"/>
            <w:vAlign w:val="bottom"/>
            <w:gridSpan w:val="4"/>
            <w:shd w:val="clear" w:color="auto" w:fill="CFF0FC"/>
          </w:tcPr>
          <w:p>
            <w:pPr>
              <w:spacing w:after="0"/>
              <w:rPr>
                <w:sz w:val="10"/>
                <w:szCs w:val="10"/>
                <w:color w:val="auto"/>
              </w:rPr>
            </w:pPr>
          </w:p>
        </w:tc>
        <w:tc>
          <w:tcPr>
            <w:tcW w:w="520" w:type="dxa"/>
            <w:vAlign w:val="bottom"/>
            <w:tcBorders>
              <w:top w:val="single" w:sz="8" w:color="auto"/>
            </w:tcBorders>
            <w:gridSpan w:val="5"/>
            <w:shd w:val="clear" w:color="auto" w:fill="CFF0FC"/>
          </w:tcPr>
          <w:p>
            <w:pPr>
              <w:spacing w:after="0"/>
              <w:rPr>
                <w:sz w:val="10"/>
                <w:szCs w:val="10"/>
                <w:color w:val="auto"/>
              </w:rPr>
            </w:pPr>
          </w:p>
        </w:tc>
        <w:tc>
          <w:tcPr>
            <w:tcW w:w="220" w:type="dxa"/>
            <w:vAlign w:val="bottom"/>
            <w:gridSpan w:val="2"/>
            <w:shd w:val="clear" w:color="auto" w:fill="CFF0FC"/>
          </w:tcPr>
          <w:p>
            <w:pPr>
              <w:spacing w:after="0"/>
              <w:rPr>
                <w:sz w:val="10"/>
                <w:szCs w:val="10"/>
                <w:color w:val="auto"/>
              </w:rPr>
            </w:pPr>
          </w:p>
        </w:tc>
        <w:tc>
          <w:tcPr>
            <w:tcW w:w="460" w:type="dxa"/>
            <w:vAlign w:val="bottom"/>
            <w:tcBorders>
              <w:top w:val="single" w:sz="8" w:color="auto"/>
            </w:tcBorders>
            <w:gridSpan w:val="4"/>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(396,</w:t>
            </w:r>
          </w:p>
        </w:tc>
        <w:tc>
          <w:tcPr>
            <w:tcW w:w="220" w:type="dxa"/>
            <w:vAlign w:val="bottom"/>
            <w:gridSpan w:val="3"/>
            <w:shd w:val="clear" w:color="auto" w:fill="CFF0FC"/>
          </w:tcPr>
          <w:p>
            <w:pPr>
              <w:spacing w:after="0"/>
              <w:rPr>
                <w:sz w:val="10"/>
                <w:szCs w:val="10"/>
                <w:color w:val="auto"/>
              </w:rPr>
            </w:pPr>
          </w:p>
        </w:tc>
        <w:tc>
          <w:tcPr>
            <w:tcW w:w="800" w:type="dxa"/>
            <w:vAlign w:val="bottom"/>
            <w:tcBorders>
              <w:top w:val="single" w:sz="8" w:color="auto"/>
            </w:tcBorders>
            <w:gridSpan w:val="3"/>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480" w:type="dxa"/>
            <w:vAlign w:val="bottom"/>
            <w:tcBorders>
              <w:bottom w:val="single" w:sz="8" w:color="CFF0FC"/>
            </w:tcBorders>
            <w:gridSpan w:val="3"/>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58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gridSpan w:val="3"/>
            <w:shd w:val="clear" w:color="auto" w:fill="CFF0FC"/>
          </w:tcPr>
          <w:p>
            <w:pPr>
              <w:spacing w:after="0"/>
              <w:rPr>
                <w:sz w:val="17"/>
                <w:szCs w:val="17"/>
                <w:color w:val="auto"/>
              </w:rPr>
            </w:pPr>
          </w:p>
        </w:tc>
        <w:tc>
          <w:tcPr>
            <w:tcW w:w="160" w:type="dxa"/>
            <w:vAlign w:val="bottom"/>
            <w:tcBorders>
              <w:bottom w:val="single" w:sz="8" w:color="auto"/>
            </w:tcBorders>
            <w:gridSpan w:val="2"/>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5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bottom w:val="single" w:sz="8" w:color="auto"/>
            </w:tcBorders>
            <w:gridSpan w:val="2"/>
            <w:shd w:val="clear" w:color="auto" w:fill="CFF0FC"/>
          </w:tcPr>
          <w:p>
            <w:pPr>
              <w:jc w:val="right"/>
              <w:ind w:right="59"/>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bottom w:val="single" w:sz="8" w:color="auto"/>
            </w:tcBorders>
            <w:shd w:val="clear" w:color="auto" w:fill="CFF0FC"/>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CFF0FC"/>
            </w:tcBorders>
            <w:gridSpan w:val="4"/>
            <w:shd w:val="clear" w:color="auto" w:fill="CFF0FC"/>
          </w:tcPr>
          <w:p>
            <w:pPr>
              <w:spacing w:after="0"/>
              <w:rPr>
                <w:sz w:val="17"/>
                <w:szCs w:val="17"/>
                <w:color w:val="auto"/>
              </w:rPr>
            </w:pPr>
          </w:p>
        </w:tc>
        <w:tc>
          <w:tcPr>
            <w:tcW w:w="800" w:type="dxa"/>
            <w:vAlign w:val="bottom"/>
            <w:tcBorders>
              <w:bottom w:val="single" w:sz="8" w:color="auto"/>
            </w:tcBorders>
            <w:gridSpan w:val="4"/>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48,346,231</w:t>
            </w:r>
          </w:p>
        </w:tc>
        <w:tc>
          <w:tcPr>
            <w:tcW w:w="220" w:type="dxa"/>
            <w:vAlign w:val="bottom"/>
            <w:tcBorders>
              <w:bottom w:val="single" w:sz="8" w:color="CFF0FC"/>
            </w:tcBorders>
            <w:gridSpan w:val="4"/>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5</w:t>
            </w:r>
          </w:p>
        </w:tc>
        <w:tc>
          <w:tcPr>
            <w:tcW w:w="220" w:type="dxa"/>
            <w:vAlign w:val="bottom"/>
            <w:tcBorders>
              <w:bottom w:val="single" w:sz="8" w:color="CFF0FC"/>
            </w:tcBorders>
            <w:gridSpan w:val="4"/>
            <w:shd w:val="clear" w:color="auto" w:fill="CFF0FC"/>
          </w:tcPr>
          <w:p>
            <w:pPr>
              <w:spacing w:after="0"/>
              <w:rPr>
                <w:sz w:val="17"/>
                <w:szCs w:val="17"/>
                <w:color w:val="auto"/>
              </w:rPr>
            </w:pPr>
          </w:p>
        </w:tc>
        <w:tc>
          <w:tcPr>
            <w:tcW w:w="540" w:type="dxa"/>
            <w:vAlign w:val="bottom"/>
            <w:tcBorders>
              <w:bottom w:val="single" w:sz="8" w:color="auto"/>
            </w:tcBorders>
            <w:gridSpan w:val="6"/>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gridSpan w:val="4"/>
            <w:shd w:val="clear" w:color="auto" w:fill="CFF0FC"/>
          </w:tcPr>
          <w:p>
            <w:pPr>
              <w:spacing w:after="0"/>
              <w:rPr>
                <w:sz w:val="17"/>
                <w:szCs w:val="17"/>
                <w:color w:val="auto"/>
              </w:rPr>
            </w:pPr>
          </w:p>
        </w:tc>
        <w:tc>
          <w:tcPr>
            <w:tcW w:w="200" w:type="dxa"/>
            <w:vAlign w:val="bottom"/>
            <w:tcBorders>
              <w:bottom w:val="single" w:sz="8" w:color="auto"/>
            </w:tcBorders>
            <w:gridSpan w:val="2"/>
            <w:shd w:val="clear" w:color="auto" w:fill="CFF0FC"/>
          </w:tcPr>
          <w:p>
            <w:pPr>
              <w:jc w:val="right"/>
              <w:ind w:right="58"/>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bottom w:val="single" w:sz="8" w:color="auto"/>
            </w:tcBorders>
            <w:gridSpan w:val="2"/>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bottom w:val="single" w:sz="8" w:color="CFF0FC"/>
            </w:tcBorders>
            <w:gridSpan w:val="4"/>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63</w:t>
            </w:r>
          </w:p>
        </w:tc>
        <w:tc>
          <w:tcPr>
            <w:tcW w:w="220" w:type="dxa"/>
            <w:vAlign w:val="bottom"/>
            <w:tcBorders>
              <w:bottom w:val="single" w:sz="8" w:color="CFF0FC"/>
            </w:tcBorders>
            <w:gridSpan w:val="4"/>
            <w:shd w:val="clear" w:color="auto" w:fill="CFF0FC"/>
          </w:tcPr>
          <w:p>
            <w:pPr>
              <w:spacing w:after="0"/>
              <w:rPr>
                <w:sz w:val="17"/>
                <w:szCs w:val="17"/>
                <w:color w:val="auto"/>
              </w:rPr>
            </w:pPr>
          </w:p>
        </w:tc>
        <w:tc>
          <w:tcPr>
            <w:tcW w:w="360" w:type="dxa"/>
            <w:vAlign w:val="bottom"/>
            <w:tcBorders>
              <w:bottom w:val="single" w:sz="8" w:color="auto"/>
            </w:tcBorders>
            <w:gridSpan w:val="2"/>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gridSpan w:val="3"/>
            <w:shd w:val="clear" w:color="auto" w:fill="CFF0FC"/>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240" w:type="dxa"/>
            <w:vAlign w:val="bottom"/>
            <w:tcBorders>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bottom w:val="single" w:sz="8" w:color="auto"/>
            </w:tcBorders>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2"/>
              </w:rPr>
              <w:t>952</w:t>
            </w:r>
          </w:p>
        </w:tc>
        <w:tc>
          <w:tcPr>
            <w:tcW w:w="220" w:type="dxa"/>
            <w:vAlign w:val="bottom"/>
            <w:tcBorders>
              <w:bottom w:val="single" w:sz="8" w:color="CFF0FC"/>
            </w:tcBorders>
            <w:gridSpan w:val="3"/>
            <w:shd w:val="clear" w:color="auto" w:fill="CFF0FC"/>
          </w:tcPr>
          <w:p>
            <w:pPr>
              <w:jc w:val="right"/>
              <w:ind w:right="113"/>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(81,384)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9440" w:type="dxa"/>
            <w:vAlign w:val="bottom"/>
            <w:gridSpan w:val="71"/>
          </w:tcPr>
          <w:p>
            <w:pPr>
              <w:ind w:left="22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440" w:type="dxa"/>
            <w:vAlign w:val="bottom"/>
            <w:gridSpan w:val="47"/>
          </w:tcPr>
          <w:p>
            <w:pPr>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480" w:type="dxa"/>
            <w:vAlign w:val="bottom"/>
            <w:gridSpan w:val="19"/>
            <w:vMerge w:val="restart"/>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w w:val="96"/>
              </w:rPr>
              <w:t>Stockholder's Equity/(Deficit)</w:t>
            </w:r>
          </w:p>
        </w:tc>
        <w:tc>
          <w:tcPr>
            <w:tcW w:w="2320" w:type="dxa"/>
            <w:vAlign w:val="bottom"/>
            <w:gridSpan w:val="1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5"/>
          </w:tcPr>
          <w:p>
            <w:pPr>
              <w:jc w:val="right"/>
              <w:ind w:right="120"/>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11"/>
          </w:tcPr>
          <w:p>
            <w:pPr>
              <w:jc w:val="right"/>
              <w:ind w:right="19"/>
              <w:spacing w:after="0" w:line="124" w:lineRule="exact"/>
              <w:rPr>
                <w:sz w:val="20"/>
                <w:szCs w:val="20"/>
                <w:color w:val="auto"/>
              </w:rPr>
            </w:pPr>
            <w:r>
              <w:rPr>
                <w:rFonts w:ascii="Times New Roman" w:cs="Times New Roman" w:eastAsia="Times New Roman" w:hAnsi="Times New Roman"/>
                <w:sz w:val="11"/>
                <w:szCs w:val="11"/>
                <w:b w:val="1"/>
                <w:bCs w:val="1"/>
                <w:color w:val="auto"/>
              </w:rPr>
              <w:t>Common Stock Subject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19"/>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5"/>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11"/>
          </w:tcPr>
          <w:p>
            <w:pPr>
              <w:jc w:val="right"/>
              <w:ind w:right="39"/>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7"/>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8"/>
            <w:vMerge w:val="restart"/>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7"/>
          </w:tcPr>
          <w:p>
            <w:pPr>
              <w:jc w:val="center"/>
              <w:ind w:right="153"/>
              <w:spacing w:after="0" w:line="100" w:lineRule="exact"/>
              <w:rPr>
                <w:sz w:val="20"/>
                <w:szCs w:val="20"/>
                <w:color w:val="auto"/>
              </w:rPr>
            </w:pPr>
            <w:r>
              <w:rPr>
                <w:rFonts w:ascii="Times New Roman" w:cs="Times New Roman" w:eastAsia="Times New Roman" w:hAnsi="Times New Roman"/>
                <w:sz w:val="11"/>
                <w:szCs w:val="11"/>
                <w:b w:val="1"/>
                <w:bCs w:val="1"/>
                <w:color w:val="auto"/>
                <w:w w:val="99"/>
              </w:rPr>
              <w:t>Shareholder</w:t>
            </w:r>
          </w:p>
        </w:tc>
        <w:tc>
          <w:tcPr>
            <w:tcW w:w="40" w:type="dxa"/>
            <w:vAlign w:val="bottom"/>
          </w:tcPr>
          <w:p>
            <w:pPr>
              <w:spacing w:after="0"/>
              <w:rPr>
                <w:sz w:val="8"/>
                <w:szCs w:val="8"/>
                <w:color w:val="auto"/>
              </w:rPr>
            </w:pPr>
          </w:p>
        </w:tc>
        <w:tc>
          <w:tcPr>
            <w:tcW w:w="580" w:type="dxa"/>
            <w:vAlign w:val="bottom"/>
            <w:gridSpan w:val="6"/>
          </w:tcPr>
          <w:p>
            <w:pPr>
              <w:jc w:val="right"/>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6"/>
              </w:rPr>
              <w:t>Accumula</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auto"/>
            </w:tcBorders>
            <w:gridSpan w:val="8"/>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7"/>
          </w:tcPr>
          <w:p>
            <w:pPr>
              <w:jc w:val="center"/>
              <w:ind w:left="2"/>
              <w:spacing w:after="0" w:line="12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5"/>
          </w:tcPr>
          <w:p>
            <w:pPr>
              <w:jc w:val="center"/>
              <w:ind w:left="1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Note</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4"/>
          </w:tcPr>
          <w:p>
            <w:pPr>
              <w:jc w:val="right"/>
              <w:ind w:right="260"/>
              <w:spacing w:after="0" w:line="124" w:lineRule="exact"/>
              <w:rPr>
                <w:sz w:val="20"/>
                <w:szCs w:val="20"/>
                <w:color w:val="auto"/>
              </w:rPr>
            </w:pPr>
            <w:r>
              <w:rPr>
                <w:rFonts w:ascii="Times New Roman" w:cs="Times New Roman" w:eastAsia="Times New Roman" w:hAnsi="Times New Roman"/>
                <w:sz w:val="11"/>
                <w:szCs w:val="11"/>
                <w:b w:val="1"/>
                <w:bCs w:val="1"/>
                <w:color w:val="auto"/>
              </w:rPr>
              <w:t>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7"/>
          </w:tcPr>
          <w:p>
            <w:pPr>
              <w:jc w:val="right"/>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Total Stockholders</w:t>
            </w:r>
          </w:p>
        </w:tc>
        <w:tc>
          <w:tcPr>
            <w:tcW w:w="0" w:type="dxa"/>
            <w:vAlign w:val="bottom"/>
          </w:tcPr>
          <w:p>
            <w:pPr>
              <w:spacing w:after="0"/>
              <w:rPr>
                <w:sz w:val="1"/>
                <w:szCs w:val="1"/>
                <w:color w:val="auto"/>
              </w:rPr>
            </w:pPr>
          </w:p>
        </w:tc>
      </w:tr>
      <w:tr>
        <w:trPr>
          <w:trHeight w:val="99"/>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3480" w:type="dxa"/>
            <w:vAlign w:val="bottom"/>
            <w:gridSpan w:val="28"/>
          </w:tcPr>
          <w:p>
            <w:pPr>
              <w:spacing w:after="0"/>
              <w:rPr>
                <w:sz w:val="20"/>
                <w:szCs w:val="20"/>
                <w:color w:val="auto"/>
              </w:rPr>
            </w:pPr>
            <w:r>
              <w:rPr>
                <w:rFonts w:ascii="Times New Roman" w:cs="Times New Roman" w:eastAsia="Times New Roman" w:hAnsi="Times New Roman"/>
                <w:sz w:val="11"/>
                <w:szCs w:val="11"/>
                <w:b w:val="1"/>
                <w:bCs w:val="1"/>
                <w:color w:val="auto"/>
              </w:rPr>
              <w:t>Amou</w:t>
            </w:r>
          </w:p>
        </w:tc>
        <w:tc>
          <w:tcPr>
            <w:tcW w:w="1060" w:type="dxa"/>
            <w:vAlign w:val="bottom"/>
            <w:gridSpan w:val="12"/>
          </w:tcPr>
          <w:p>
            <w:pPr>
              <w:jc w:val="right"/>
              <w:ind w:right="742"/>
              <w:spacing w:after="0" w:line="100" w:lineRule="exact"/>
              <w:rPr>
                <w:sz w:val="20"/>
                <w:szCs w:val="20"/>
                <w:color w:val="auto"/>
              </w:rPr>
            </w:pPr>
            <w:r>
              <w:rPr>
                <w:rFonts w:ascii="Times New Roman" w:cs="Times New Roman" w:eastAsia="Times New Roman" w:hAnsi="Times New Roman"/>
                <w:sz w:val="11"/>
                <w:szCs w:val="11"/>
                <w:b w:val="1"/>
                <w:bCs w:val="1"/>
                <w:color w:val="auto"/>
              </w:rPr>
              <w:t>Amo</w:t>
            </w:r>
          </w:p>
        </w:tc>
        <w:tc>
          <w:tcPr>
            <w:tcW w:w="600" w:type="dxa"/>
            <w:vAlign w:val="bottom"/>
            <w:gridSpan w:val="8"/>
          </w:tcPr>
          <w:p>
            <w:pP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3640" w:type="dxa"/>
            <w:vAlign w:val="bottom"/>
            <w:gridSpan w:val="34"/>
          </w:tcPr>
          <w:p>
            <w:pPr>
              <w:jc w:val="center"/>
              <w:ind w:right="3220"/>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0" w:type="dxa"/>
            <w:vAlign w:val="bottom"/>
          </w:tcPr>
          <w:p>
            <w:pPr>
              <w:spacing w:after="0"/>
              <w:rPr>
                <w:sz w:val="1"/>
                <w:szCs w:val="1"/>
                <w:color w:val="auto"/>
              </w:rPr>
            </w:pPr>
          </w:p>
        </w:tc>
      </w:tr>
      <w:tr>
        <w:trPr>
          <w:trHeight w:val="88"/>
        </w:trPr>
        <w:tc>
          <w:tcPr>
            <w:tcW w:w="2460" w:type="dxa"/>
            <w:vAlign w:val="bottom"/>
            <w:gridSpan w:val="2"/>
            <w:vMerge w:val="continue"/>
          </w:tcPr>
          <w:p>
            <w:pPr>
              <w:spacing w:after="0"/>
              <w:rPr>
                <w:sz w:val="7"/>
                <w:szCs w:val="7"/>
                <w:color w:val="auto"/>
              </w:rPr>
            </w:pPr>
          </w:p>
        </w:tc>
        <w:tc>
          <w:tcPr>
            <w:tcW w:w="4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220" w:type="dxa"/>
            <w:vAlign w:val="bottom"/>
            <w:gridSpan w:val="2"/>
            <w:vMerge w:val="restart"/>
          </w:tcPr>
          <w:p>
            <w:pPr>
              <w:spacing w:after="0"/>
              <w:rPr>
                <w:sz w:val="7"/>
                <w:szCs w:val="7"/>
                <w:color w:val="auto"/>
              </w:rPr>
            </w:pPr>
          </w:p>
        </w:tc>
        <w:tc>
          <w:tcPr>
            <w:tcW w:w="3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gridSpan w:val="4"/>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vMerge w:val="restart"/>
          </w:tcPr>
          <w:p>
            <w:pPr>
              <w:spacing w:after="0"/>
              <w:rPr>
                <w:sz w:val="7"/>
                <w:szCs w:val="7"/>
                <w:color w:val="auto"/>
              </w:rPr>
            </w:pPr>
          </w:p>
        </w:tc>
        <w:tc>
          <w:tcPr>
            <w:tcW w:w="2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unt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nt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18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gridSpan w:val="4"/>
            <w:vMerge w:val="restart"/>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6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restart"/>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3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2"/>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340" w:type="dxa"/>
            <w:vAlign w:val="bottom"/>
            <w:tcBorders>
              <w:bottom w:val="single" w:sz="8" w:color="auto"/>
            </w:tcBorders>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4"/>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280" w:type="dxa"/>
            <w:vAlign w:val="bottom"/>
            <w:tcBorders>
              <w:bottom w:val="single" w:sz="8" w:color="auto"/>
            </w:tcBorders>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bottom w:val="single" w:sz="8" w:color="auto"/>
            </w:tcBorders>
            <w:gridSpan w:val="3"/>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6"/>
            <w:vMerge w:val="continue"/>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auto"/>
            </w:tcBorders>
            <w:gridSpan w:val="6"/>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4"/>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4320" w:type="dxa"/>
            <w:vAlign w:val="bottom"/>
            <w:gridSpan w:val="16"/>
            <w:shd w:val="clear" w:color="auto" w:fill="CFF0FC"/>
          </w:tcPr>
          <w:p>
            <w:pPr>
              <w:jc w:val="right"/>
              <w:ind w:right="4320"/>
              <w:spacing w:after="0"/>
              <w:rPr>
                <w:sz w:val="20"/>
                <w:szCs w:val="20"/>
                <w:color w:val="auto"/>
              </w:rPr>
            </w:pPr>
            <w:r>
              <w:rPr>
                <w:rFonts w:ascii="Times New Roman" w:cs="Times New Roman" w:eastAsia="Times New Roman" w:hAnsi="Times New Roman"/>
                <w:sz w:val="13"/>
                <w:szCs w:val="13"/>
                <w:b w:val="1"/>
                <w:bCs w:val="1"/>
                <w:color w:val="auto"/>
              </w:rPr>
              <w:t>2,854,2</w:t>
            </w:r>
          </w:p>
        </w:tc>
        <w:tc>
          <w:tcPr>
            <w:tcW w:w="940" w:type="dxa"/>
            <w:vAlign w:val="bottom"/>
            <w:gridSpan w:val="9"/>
            <w:shd w:val="clear" w:color="auto" w:fill="CFF0FC"/>
          </w:tcPr>
          <w:p>
            <w:pPr>
              <w:jc w:val="right"/>
              <w:ind w:right="273"/>
              <w:spacing w:after="0" w:line="126" w:lineRule="exact"/>
              <w:rPr>
                <w:sz w:val="20"/>
                <w:szCs w:val="20"/>
                <w:color w:val="auto"/>
              </w:rPr>
            </w:pPr>
            <w:r>
              <w:rPr>
                <w:rFonts w:ascii="Times New Roman" w:cs="Times New Roman" w:eastAsia="Times New Roman" w:hAnsi="Times New Roman"/>
                <w:sz w:val="13"/>
                <w:szCs w:val="13"/>
                <w:b w:val="1"/>
                <w:bCs w:val="1"/>
                <w:color w:val="auto"/>
              </w:rPr>
              <w:t>33,06</w:t>
            </w:r>
          </w:p>
        </w:tc>
        <w:tc>
          <w:tcPr>
            <w:tcW w:w="4180" w:type="dxa"/>
            <w:vAlign w:val="bottom"/>
            <w:gridSpan w:val="46"/>
            <w:shd w:val="clear" w:color="auto" w:fill="CFF0FC"/>
          </w:tcPr>
          <w:p>
            <w:pPr>
              <w:jc w:val="right"/>
              <w:ind w:right="3666"/>
              <w:spacing w:after="0" w:line="126" w:lineRule="exact"/>
              <w:rPr>
                <w:sz w:val="20"/>
                <w:szCs w:val="20"/>
                <w:color w:val="auto"/>
              </w:rPr>
            </w:pPr>
            <w:r>
              <w:rPr>
                <w:rFonts w:ascii="Times New Roman" w:cs="Times New Roman" w:eastAsia="Times New Roman" w:hAnsi="Times New Roman"/>
                <w:sz w:val="13"/>
                <w:szCs w:val="13"/>
                <w:b w:val="1"/>
                <w:bCs w:val="1"/>
                <w:color w:val="auto"/>
              </w:rPr>
              <w:t>98,818,</w:t>
            </w:r>
          </w:p>
        </w:tc>
        <w:tc>
          <w:tcPr>
            <w:tcW w:w="1800" w:type="dxa"/>
            <w:vAlign w:val="bottom"/>
            <w:gridSpan w:val="13"/>
            <w:shd w:val="clear" w:color="auto" w:fill="CFF0FC"/>
          </w:tcPr>
          <w:p>
            <w:pPr>
              <w:jc w:val="right"/>
              <w:ind w:right="1420"/>
              <w:spacing w:after="0" w:line="126" w:lineRule="exact"/>
              <w:rPr>
                <w:sz w:val="20"/>
                <w:szCs w:val="20"/>
                <w:color w:val="auto"/>
              </w:rPr>
            </w:pPr>
            <w:r>
              <w:rPr>
                <w:rFonts w:ascii="Times New Roman" w:cs="Times New Roman" w:eastAsia="Times New Roman" w:hAnsi="Times New Roman"/>
                <w:sz w:val="13"/>
                <w:szCs w:val="13"/>
                <w:b w:val="1"/>
                <w:bCs w:val="1"/>
                <w:color w:val="auto"/>
              </w:rPr>
              <w:t>(577,0</w:t>
            </w:r>
          </w:p>
        </w:tc>
        <w:tc>
          <w:tcPr>
            <w:tcW w:w="0" w:type="dxa"/>
            <w:vAlign w:val="bottom"/>
          </w:tcPr>
          <w:p>
            <w:pPr>
              <w:spacing w:after="0"/>
              <w:rPr>
                <w:sz w:val="1"/>
                <w:szCs w:val="1"/>
                <w:color w:val="auto"/>
              </w:rPr>
            </w:pPr>
          </w:p>
        </w:tc>
      </w:tr>
      <w:tr>
        <w:trPr>
          <w:trHeight w:val="165"/>
        </w:trPr>
        <w:tc>
          <w:tcPr>
            <w:tcW w:w="24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2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42</w:t>
            </w:r>
          </w:p>
        </w:tc>
        <w:tc>
          <w:tcPr>
            <w:tcW w:w="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874</w:t>
            </w:r>
          </w:p>
        </w:tc>
        <w:tc>
          <w:tcPr>
            <w:tcW w:w="200" w:type="dxa"/>
            <w:vAlign w:val="bottom"/>
            <w:shd w:val="clear" w:color="auto" w:fill="CFF0FC"/>
          </w:tcPr>
          <w:p>
            <w:pPr>
              <w:spacing w:after="0"/>
              <w:rPr>
                <w:sz w:val="14"/>
                <w:szCs w:val="14"/>
                <w:color w:val="auto"/>
              </w:rPr>
            </w:pPr>
          </w:p>
        </w:tc>
        <w:tc>
          <w:tcPr>
            <w:tcW w:w="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$ 10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80" w:type="dxa"/>
            <w:vAlign w:val="bottom"/>
            <w:gridSpan w:val="4"/>
            <w:shd w:val="clear" w:color="auto" w:fill="CFF0FC"/>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8"/>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602,266</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40" w:type="dxa"/>
            <w:vAlign w:val="bottom"/>
            <w:gridSpan w:val="4"/>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(8,554)</w:t>
            </w:r>
          </w:p>
        </w:tc>
        <w:tc>
          <w:tcPr>
            <w:tcW w:w="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FF0FC"/>
          </w:tcPr>
          <w:p>
            <w:pPr>
              <w:spacing w:after="0"/>
              <w:rPr>
                <w:sz w:val="14"/>
                <w:szCs w:val="14"/>
                <w:color w:val="auto"/>
              </w:rPr>
            </w:pPr>
          </w:p>
        </w:tc>
        <w:tc>
          <w:tcPr>
            <w:tcW w:w="4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16,710</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Issuance of common stock to advisors</w:t>
            </w:r>
          </w:p>
        </w:tc>
        <w:tc>
          <w:tcPr>
            <w:tcW w:w="82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6"/>
          </w:tcPr>
          <w:p>
            <w:pPr>
              <w:jc w:val="right"/>
              <w:ind w:right="43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5"/>
          </w:tcPr>
          <w:p>
            <w:pPr>
              <w:jc w:val="right"/>
              <w:ind w:right="25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color w:val="auto"/>
              </w:rPr>
              <w:t>9,306</w:t>
            </w:r>
          </w:p>
        </w:tc>
        <w:tc>
          <w:tcPr>
            <w:tcW w:w="500" w:type="dxa"/>
            <w:vAlign w:val="bottom"/>
            <w:gridSpan w:val="6"/>
          </w:tcPr>
          <w:p>
            <w:pPr>
              <w:jc w:val="right"/>
              <w:ind w:right="18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7"/>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11"/>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12"/>
          </w:tcPr>
          <w:p>
            <w:pPr>
              <w:jc w:val="right"/>
              <w:ind w:right="739"/>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7"/>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8"/>
          </w:tcPr>
          <w:p>
            <w:pPr>
              <w:jc w:val="right"/>
              <w:ind w:right="52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4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Increase in redemption value</w:t>
            </w:r>
          </w:p>
        </w:tc>
        <w:tc>
          <w:tcPr>
            <w:tcW w:w="820" w:type="dxa"/>
            <w:vAlign w:val="bottom"/>
            <w:gridSpan w:val="5"/>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5"/>
            <w:shd w:val="clear" w:color="auto" w:fill="CFF0FC"/>
          </w:tcPr>
          <w:p>
            <w:pPr>
              <w:jc w:val="right"/>
              <w:ind w:right="38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9"/>
            <w:shd w:val="clear" w:color="auto" w:fill="CFF0FC"/>
          </w:tcPr>
          <w:p>
            <w:pPr>
              <w:jc w:val="right"/>
              <w:ind w:right="419"/>
              <w:spacing w:after="0"/>
              <w:rPr>
                <w:sz w:val="20"/>
                <w:szCs w:val="20"/>
                <w:color w:val="auto"/>
              </w:rPr>
            </w:pPr>
            <w:r>
              <w:rPr>
                <w:rFonts w:ascii="Times New Roman" w:cs="Times New Roman" w:eastAsia="Times New Roman" w:hAnsi="Times New Roman"/>
                <w:sz w:val="13"/>
                <w:szCs w:val="13"/>
                <w:color w:val="auto"/>
              </w:rPr>
              <w:t>603</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18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7"/>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11"/>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12"/>
            <w:shd w:val="clear" w:color="auto" w:fill="CFF0FC"/>
          </w:tcPr>
          <w:p>
            <w:pPr>
              <w:jc w:val="right"/>
              <w:ind w:right="739"/>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7"/>
            <w:shd w:val="clear" w:color="auto" w:fill="CFF0FC"/>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8"/>
            <w:shd w:val="clear" w:color="auto" w:fill="CFF0FC"/>
          </w:tcPr>
          <w:p>
            <w:pPr>
              <w:jc w:val="right"/>
              <w:ind w:right="52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800" w:type="dxa"/>
            <w:vAlign w:val="bottom"/>
            <w:gridSpan w:val="12"/>
          </w:tcPr>
          <w:p>
            <w:pPr>
              <w:ind w:left="60"/>
              <w:spacing w:after="0" w:line="136" w:lineRule="exact"/>
              <w:rPr>
                <w:sz w:val="20"/>
                <w:szCs w:val="20"/>
                <w:color w:val="auto"/>
              </w:rPr>
            </w:pPr>
            <w:r>
              <w:rPr>
                <w:rFonts w:ascii="Times New Roman" w:cs="Times New Roman" w:eastAsia="Times New Roman" w:hAnsi="Times New Roman"/>
                <w:sz w:val="13"/>
                <w:szCs w:val="13"/>
                <w:color w:val="auto"/>
              </w:rPr>
              <w:t>Redemption of common stock subject</w:t>
            </w:r>
          </w:p>
        </w:tc>
        <w:tc>
          <w:tcPr>
            <w:tcW w:w="520" w:type="dxa"/>
            <w:vAlign w:val="bottom"/>
            <w:gridSpan w:val="4"/>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(2,800,</w:t>
            </w:r>
          </w:p>
        </w:tc>
        <w:tc>
          <w:tcPr>
            <w:tcW w:w="6920" w:type="dxa"/>
            <w:vAlign w:val="bottom"/>
            <w:gridSpan w:val="68"/>
          </w:tcPr>
          <w:p>
            <w:pPr>
              <w:jc w:val="right"/>
              <w:ind w:right="6300"/>
              <w:spacing w:after="0" w:line="136" w:lineRule="exact"/>
              <w:rPr>
                <w:sz w:val="20"/>
                <w:szCs w:val="20"/>
                <w:color w:val="auto"/>
              </w:rPr>
            </w:pPr>
            <w:r>
              <w:rPr>
                <w:rFonts w:ascii="Times New Roman" w:cs="Times New Roman" w:eastAsia="Times New Roman" w:hAnsi="Times New Roman"/>
                <w:sz w:val="13"/>
                <w:szCs w:val="13"/>
                <w:color w:val="auto"/>
              </w:rPr>
              <w:t>(33,15</w:t>
            </w:r>
          </w:p>
        </w:tc>
        <w:tc>
          <w:tcPr>
            <w:tcW w:w="0" w:type="dxa"/>
            <w:vAlign w:val="bottom"/>
          </w:tcPr>
          <w:p>
            <w:pPr>
              <w:spacing w:after="0"/>
              <w:rPr>
                <w:sz w:val="1"/>
                <w:szCs w:val="1"/>
                <w:color w:val="auto"/>
              </w:rPr>
            </w:pPr>
          </w:p>
        </w:tc>
      </w:tr>
      <w:tr>
        <w:trPr>
          <w:trHeight w:val="161"/>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to possible redemption</w:t>
            </w:r>
          </w:p>
        </w:tc>
        <w:tc>
          <w:tcPr>
            <w:tcW w:w="82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7"/>
          </w:tcPr>
          <w:p>
            <w:pPr>
              <w:jc w:val="right"/>
              <w:ind w:right="326"/>
              <w:spacing w:after="0"/>
              <w:rPr>
                <w:sz w:val="20"/>
                <w:szCs w:val="20"/>
                <w:color w:val="auto"/>
              </w:rPr>
            </w:pPr>
            <w:r>
              <w:rPr>
                <w:rFonts w:ascii="Times New Roman" w:cs="Times New Roman" w:eastAsia="Times New Roman" w:hAnsi="Times New Roman"/>
                <w:sz w:val="13"/>
                <w:szCs w:val="13"/>
                <w:color w:val="auto"/>
              </w:rPr>
              <w:t>489)</w:t>
            </w:r>
          </w:p>
        </w:tc>
        <w:tc>
          <w:tcPr>
            <w:tcW w:w="740" w:type="dxa"/>
            <w:vAlign w:val="bottom"/>
            <w:gridSpan w:val="9"/>
          </w:tcPr>
          <w:p>
            <w:pPr>
              <w:jc w:val="right"/>
              <w:ind w:right="359"/>
              <w:spacing w:after="0"/>
              <w:rPr>
                <w:sz w:val="20"/>
                <w:szCs w:val="20"/>
                <w:color w:val="auto"/>
              </w:rPr>
            </w:pPr>
            <w:r>
              <w:rPr>
                <w:rFonts w:ascii="Times New Roman" w:cs="Times New Roman" w:eastAsia="Times New Roman" w:hAnsi="Times New Roman"/>
                <w:sz w:val="13"/>
                <w:szCs w:val="13"/>
                <w:color w:val="auto"/>
              </w:rPr>
              <w:t>7)</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18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7"/>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11"/>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12"/>
          </w:tcPr>
          <w:p>
            <w:pPr>
              <w:jc w:val="right"/>
              <w:ind w:right="739"/>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7"/>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8"/>
          </w:tcPr>
          <w:p>
            <w:pPr>
              <w:jc w:val="right"/>
              <w:ind w:right="52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4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Lapse of redemption</w:t>
            </w:r>
          </w:p>
        </w:tc>
        <w:tc>
          <w:tcPr>
            <w:tcW w:w="820" w:type="dxa"/>
            <w:vAlign w:val="bottom"/>
            <w:gridSpan w:val="5"/>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7"/>
            <w:shd w:val="clear" w:color="auto" w:fill="CFF0FC"/>
          </w:tcPr>
          <w:p>
            <w:pPr>
              <w:jc w:val="right"/>
              <w:ind w:right="326"/>
              <w:spacing w:after="0"/>
              <w:rPr>
                <w:sz w:val="20"/>
                <w:szCs w:val="20"/>
                <w:color w:val="auto"/>
              </w:rPr>
            </w:pPr>
            <w:r>
              <w:rPr>
                <w:rFonts w:ascii="Times New Roman" w:cs="Times New Roman" w:eastAsia="Times New Roman" w:hAnsi="Times New Roman"/>
                <w:sz w:val="13"/>
                <w:szCs w:val="13"/>
                <w:color w:val="auto"/>
              </w:rPr>
              <w:t>(53,753)</w:t>
            </w:r>
          </w:p>
        </w:tc>
        <w:tc>
          <w:tcPr>
            <w:tcW w:w="580" w:type="dxa"/>
            <w:vAlign w:val="bottom"/>
            <w:gridSpan w:val="6"/>
            <w:shd w:val="clear" w:color="auto" w:fill="CFF0FC"/>
          </w:tcPr>
          <w:p>
            <w:pPr>
              <w:jc w:val="right"/>
              <w:ind w:right="193"/>
              <w:spacing w:after="0"/>
              <w:rPr>
                <w:sz w:val="20"/>
                <w:szCs w:val="20"/>
                <w:color w:val="auto"/>
              </w:rPr>
            </w:pPr>
            <w:r>
              <w:rPr>
                <w:rFonts w:ascii="Times New Roman" w:cs="Times New Roman" w:eastAsia="Times New Roman" w:hAnsi="Times New Roman"/>
                <w:sz w:val="13"/>
                <w:szCs w:val="13"/>
                <w:color w:val="auto"/>
              </w:rPr>
              <w:t>(507)</w:t>
            </w:r>
          </w:p>
        </w:tc>
        <w:tc>
          <w:tcPr>
            <w:tcW w:w="680" w:type="dxa"/>
            <w:vAlign w:val="bottom"/>
            <w:gridSpan w:val="5"/>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53,753</w:t>
            </w:r>
          </w:p>
        </w:tc>
        <w:tc>
          <w:tcPr>
            <w:tcW w:w="500" w:type="dxa"/>
            <w:vAlign w:val="bottom"/>
            <w:gridSpan w:val="6"/>
            <w:shd w:val="clear" w:color="auto" w:fill="CFF0FC"/>
          </w:tcPr>
          <w:p>
            <w:pPr>
              <w:jc w:val="right"/>
              <w:ind w:right="18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7"/>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9"/>
            <w:shd w:val="clear" w:color="auto" w:fill="CFF0FC"/>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14"/>
            <w:shd w:val="clear" w:color="auto" w:fill="CFF0FC"/>
          </w:tcPr>
          <w:p>
            <w:pPr>
              <w:jc w:val="right"/>
              <w:ind w:right="739"/>
              <w:spacing w:after="0"/>
              <w:rPr>
                <w:sz w:val="20"/>
                <w:szCs w:val="20"/>
                <w:color w:val="auto"/>
              </w:rPr>
            </w:pPr>
            <w:r>
              <w:rPr>
                <w:rFonts w:ascii="Times New Roman" w:cs="Times New Roman" w:eastAsia="Times New Roman" w:hAnsi="Times New Roman"/>
                <w:sz w:val="13"/>
                <w:szCs w:val="13"/>
                <w:color w:val="auto"/>
              </w:rPr>
              <w:t>503</w:t>
            </w:r>
          </w:p>
        </w:tc>
        <w:tc>
          <w:tcPr>
            <w:tcW w:w="740" w:type="dxa"/>
            <w:vAlign w:val="bottom"/>
            <w:gridSpan w:val="7"/>
            <w:shd w:val="clear" w:color="auto" w:fill="CFF0FC"/>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8"/>
            <w:shd w:val="clear" w:color="auto" w:fill="CFF0FC"/>
          </w:tcPr>
          <w:p>
            <w:pPr>
              <w:jc w:val="right"/>
              <w:ind w:right="52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48"/>
        </w:trPr>
        <w:tc>
          <w:tcPr>
            <w:tcW w:w="24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2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6"/>
          </w:tcPr>
          <w:p>
            <w:pPr>
              <w:jc w:val="right"/>
              <w:ind w:right="43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8"/>
          </w:tcPr>
          <w:p>
            <w:pPr>
              <w:jc w:val="right"/>
              <w:ind w:right="419"/>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18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7"/>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9"/>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14"/>
          </w:tcPr>
          <w:p>
            <w:pPr>
              <w:jc w:val="right"/>
              <w:ind w:right="739"/>
              <w:spacing w:after="0"/>
              <w:rPr>
                <w:sz w:val="20"/>
                <w:szCs w:val="20"/>
                <w:color w:val="auto"/>
              </w:rPr>
            </w:pPr>
            <w:r>
              <w:rPr>
                <w:rFonts w:ascii="Times New Roman" w:cs="Times New Roman" w:eastAsia="Times New Roman" w:hAnsi="Times New Roman"/>
                <w:sz w:val="13"/>
                <w:szCs w:val="13"/>
                <w:color w:val="auto"/>
              </w:rPr>
              <w:t>7,566</w:t>
            </w:r>
          </w:p>
        </w:tc>
        <w:tc>
          <w:tcPr>
            <w:tcW w:w="740" w:type="dxa"/>
            <w:vAlign w:val="bottom"/>
            <w:gridSpan w:val="7"/>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8"/>
          </w:tcPr>
          <w:p>
            <w:pPr>
              <w:jc w:val="right"/>
              <w:ind w:right="52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7,566</w:t>
            </w:r>
          </w:p>
        </w:tc>
        <w:tc>
          <w:tcPr>
            <w:tcW w:w="0" w:type="dxa"/>
            <w:vAlign w:val="bottom"/>
          </w:tcPr>
          <w:p>
            <w:pPr>
              <w:spacing w:after="0"/>
              <w:rPr>
                <w:sz w:val="1"/>
                <w:szCs w:val="1"/>
                <w:color w:val="auto"/>
              </w:rPr>
            </w:pPr>
          </w:p>
        </w:tc>
      </w:tr>
      <w:tr>
        <w:trPr>
          <w:trHeight w:val="136"/>
        </w:trPr>
        <w:tc>
          <w:tcPr>
            <w:tcW w:w="11240" w:type="dxa"/>
            <w:vAlign w:val="bottom"/>
            <w:gridSpan w:val="84"/>
            <w:shd w:val="clear" w:color="auto" w:fill="CFF0FC"/>
          </w:tcPr>
          <w:p>
            <w:pPr>
              <w:jc w:val="right"/>
              <w:ind w:right="11240"/>
              <w:spacing w:after="0"/>
              <w:rPr>
                <w:sz w:val="20"/>
                <w:szCs w:val="20"/>
                <w:color w:val="auto"/>
              </w:rPr>
            </w:pPr>
            <w:r>
              <w:rPr>
                <w:rFonts w:ascii="Times New Roman" w:cs="Times New Roman" w:eastAsia="Times New Roman" w:hAnsi="Times New Roman"/>
                <w:sz w:val="13"/>
                <w:szCs w:val="13"/>
                <w:color w:val="auto"/>
              </w:rPr>
              <w:t>(29,58</w:t>
            </w:r>
          </w:p>
        </w:tc>
        <w:tc>
          <w:tcPr>
            <w:tcW w:w="0" w:type="dxa"/>
            <w:vAlign w:val="bottom"/>
          </w:tcPr>
          <w:p>
            <w:pPr>
              <w:spacing w:after="0"/>
              <w:rPr>
                <w:sz w:val="1"/>
                <w:szCs w:val="1"/>
                <w:color w:val="auto"/>
              </w:rPr>
            </w:pPr>
          </w:p>
        </w:tc>
      </w:tr>
      <w:tr>
        <w:trPr>
          <w:trHeight w:val="161"/>
        </w:trPr>
        <w:tc>
          <w:tcPr>
            <w:tcW w:w="24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gridSpan w:val="5"/>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6"/>
            <w:shd w:val="clear" w:color="auto" w:fill="CFF0FC"/>
          </w:tcPr>
          <w:p>
            <w:pPr>
              <w:jc w:val="right"/>
              <w:ind w:right="43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8"/>
            <w:shd w:val="clear" w:color="auto" w:fill="CFF0FC"/>
          </w:tcPr>
          <w:p>
            <w:pPr>
              <w:jc w:val="right"/>
              <w:ind w:right="419"/>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18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7"/>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11"/>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12"/>
            <w:shd w:val="clear" w:color="auto" w:fill="CFF0FC"/>
          </w:tcPr>
          <w:p>
            <w:pPr>
              <w:jc w:val="right"/>
              <w:ind w:right="739"/>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5"/>
            <w:shd w:val="clear" w:color="auto" w:fill="CFF0FC"/>
          </w:tcPr>
          <w:p>
            <w:pPr>
              <w:jc w:val="right"/>
              <w:ind w:right="28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10"/>
            <w:shd w:val="clear" w:color="auto" w:fill="CFF0FC"/>
          </w:tcPr>
          <w:p>
            <w:pPr>
              <w:jc w:val="right"/>
              <w:ind w:right="465"/>
              <w:spacing w:after="0"/>
              <w:rPr>
                <w:sz w:val="20"/>
                <w:szCs w:val="20"/>
                <w:color w:val="auto"/>
              </w:rPr>
            </w:pPr>
            <w:r>
              <w:rPr>
                <w:rFonts w:ascii="Times New Roman" w:cs="Times New Roman" w:eastAsia="Times New Roman" w:hAnsi="Times New Roman"/>
                <w:sz w:val="13"/>
                <w:szCs w:val="13"/>
                <w:color w:val="auto"/>
              </w:rPr>
              <w:t>9)</w:t>
            </w:r>
          </w:p>
        </w:tc>
        <w:tc>
          <w:tcPr>
            <w:tcW w:w="8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(29,589)</w:t>
            </w:r>
          </w:p>
        </w:tc>
        <w:tc>
          <w:tcPr>
            <w:tcW w:w="0" w:type="dxa"/>
            <w:vAlign w:val="bottom"/>
          </w:tcPr>
          <w:p>
            <w:pPr>
              <w:spacing w:after="0"/>
              <w:rPr>
                <w:sz w:val="1"/>
                <w:szCs w:val="1"/>
                <w:color w:val="auto"/>
              </w:rPr>
            </w:pPr>
          </w:p>
        </w:tc>
      </w:tr>
      <w:tr>
        <w:trPr>
          <w:trHeight w:val="125"/>
        </w:trPr>
        <w:tc>
          <w:tcPr>
            <w:tcW w:w="236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gridSpan w:val="3"/>
          </w:tcPr>
          <w:p>
            <w:pPr>
              <w:spacing w:after="0"/>
              <w:rPr>
                <w:sz w:val="10"/>
                <w:szCs w:val="10"/>
                <w:color w:val="auto"/>
              </w:rPr>
            </w:pPr>
          </w:p>
        </w:tc>
        <w:tc>
          <w:tcPr>
            <w:tcW w:w="220" w:type="dxa"/>
            <w:vAlign w:val="bottom"/>
            <w:tcBorders>
              <w:top w:val="single" w:sz="8" w:color="CFF0FC"/>
            </w:tcBorders>
            <w:gridSpan w:val="2"/>
          </w:tcPr>
          <w:p>
            <w:pPr>
              <w:spacing w:after="0"/>
              <w:rPr>
                <w:sz w:val="10"/>
                <w:szCs w:val="10"/>
                <w:color w:val="auto"/>
              </w:rPr>
            </w:pPr>
          </w:p>
        </w:tc>
        <w:tc>
          <w:tcPr>
            <w:tcW w:w="340" w:type="dxa"/>
            <w:vAlign w:val="bottom"/>
            <w:tcBorders>
              <w:top w:val="single" w:sz="8" w:color="auto"/>
            </w:tcBorders>
            <w:gridSpan w:val="4"/>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gridSpan w:val="4"/>
          </w:tcPr>
          <w:p>
            <w:pPr>
              <w:spacing w:after="0"/>
              <w:rPr>
                <w:sz w:val="10"/>
                <w:szCs w:val="10"/>
                <w:color w:val="auto"/>
              </w:rPr>
            </w:pPr>
          </w:p>
        </w:tc>
        <w:tc>
          <w:tcPr>
            <w:tcW w:w="220" w:type="dxa"/>
            <w:vAlign w:val="bottom"/>
            <w:tcBorders>
              <w:top w:val="single" w:sz="8" w:color="CFF0FC"/>
            </w:tcBorders>
            <w:gridSpan w:val="2"/>
          </w:tcPr>
          <w:p>
            <w:pPr>
              <w:spacing w:after="0"/>
              <w:rPr>
                <w:sz w:val="10"/>
                <w:szCs w:val="10"/>
                <w:color w:val="auto"/>
              </w:rPr>
            </w:pPr>
          </w:p>
        </w:tc>
        <w:tc>
          <w:tcPr>
            <w:tcW w:w="480" w:type="dxa"/>
            <w:vAlign w:val="bottom"/>
            <w:tcBorders>
              <w:top w:val="single" w:sz="8" w:color="auto"/>
            </w:tcBorders>
            <w:gridSpan w:val="5"/>
          </w:tcPr>
          <w:p>
            <w:pPr>
              <w:spacing w:after="0"/>
              <w:rPr>
                <w:sz w:val="10"/>
                <w:szCs w:val="10"/>
                <w:color w:val="auto"/>
              </w:rPr>
            </w:pPr>
          </w:p>
        </w:tc>
        <w:tc>
          <w:tcPr>
            <w:tcW w:w="220" w:type="dxa"/>
            <w:vAlign w:val="bottom"/>
            <w:tcBorders>
              <w:top w:val="single" w:sz="8" w:color="CFF0FC"/>
            </w:tcBorders>
            <w:gridSpan w:val="2"/>
          </w:tcPr>
          <w:p>
            <w:pPr>
              <w:spacing w:after="0"/>
              <w:rPr>
                <w:sz w:val="10"/>
                <w:szCs w:val="10"/>
                <w:color w:val="auto"/>
              </w:rPr>
            </w:pPr>
          </w:p>
        </w:tc>
        <w:tc>
          <w:tcPr>
            <w:tcW w:w="580" w:type="dxa"/>
            <w:vAlign w:val="bottom"/>
            <w:tcBorders>
              <w:top w:val="single" w:sz="8" w:color="auto"/>
            </w:tcBorders>
            <w:gridSpan w:val="5"/>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98,881,</w:t>
            </w:r>
          </w:p>
        </w:tc>
        <w:tc>
          <w:tcPr>
            <w:tcW w:w="2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gridSpan w:val="3"/>
          </w:tcPr>
          <w:p>
            <w:pPr>
              <w:spacing w:after="0"/>
              <w:rPr>
                <w:sz w:val="10"/>
                <w:szCs w:val="10"/>
                <w:color w:val="auto"/>
              </w:rPr>
            </w:pPr>
          </w:p>
        </w:tc>
        <w:tc>
          <w:tcPr>
            <w:tcW w:w="220" w:type="dxa"/>
            <w:vAlign w:val="bottom"/>
            <w:tcBorders>
              <w:top w:val="single" w:sz="8" w:color="CFF0FC"/>
            </w:tcBorders>
            <w:gridSpan w:val="3"/>
          </w:tcPr>
          <w:p>
            <w:pPr>
              <w:spacing w:after="0"/>
              <w:rPr>
                <w:sz w:val="10"/>
                <w:szCs w:val="10"/>
                <w:color w:val="auto"/>
              </w:rPr>
            </w:pPr>
          </w:p>
        </w:tc>
        <w:tc>
          <w:tcPr>
            <w:tcW w:w="340" w:type="dxa"/>
            <w:vAlign w:val="bottom"/>
            <w:tcBorders>
              <w:top w:val="single" w:sz="8" w:color="auto"/>
            </w:tcBorders>
            <w:gridSpan w:val="3"/>
          </w:tcPr>
          <w:p>
            <w:pPr>
              <w:spacing w:after="0"/>
              <w:rPr>
                <w:sz w:val="10"/>
                <w:szCs w:val="10"/>
                <w:color w:val="auto"/>
              </w:rPr>
            </w:pPr>
          </w:p>
        </w:tc>
        <w:tc>
          <w:tcPr>
            <w:tcW w:w="220" w:type="dxa"/>
            <w:vAlign w:val="bottom"/>
            <w:tcBorders>
              <w:top w:val="single" w:sz="8" w:color="CFF0FC"/>
            </w:tcBorders>
            <w:gridSpan w:val="3"/>
          </w:tcPr>
          <w:p>
            <w:pPr>
              <w:spacing w:after="0"/>
              <w:rPr>
                <w:sz w:val="10"/>
                <w:szCs w:val="10"/>
                <w:color w:val="auto"/>
              </w:rPr>
            </w:pPr>
          </w:p>
        </w:tc>
        <w:tc>
          <w:tcPr>
            <w:tcW w:w="320" w:type="dxa"/>
            <w:vAlign w:val="bottom"/>
            <w:tcBorders>
              <w:top w:val="single" w:sz="8" w:color="auto"/>
            </w:tcBorders>
            <w:gridSpan w:val="3"/>
          </w:tcPr>
          <w:p>
            <w:pPr>
              <w:spacing w:after="0"/>
              <w:rPr>
                <w:sz w:val="10"/>
                <w:szCs w:val="10"/>
                <w:color w:val="auto"/>
              </w:rPr>
            </w:pPr>
          </w:p>
        </w:tc>
        <w:tc>
          <w:tcPr>
            <w:tcW w:w="200" w:type="dxa"/>
            <w:vAlign w:val="bottom"/>
            <w:tcBorders>
              <w:top w:val="single" w:sz="8" w:color="CFF0FC"/>
            </w:tcBorders>
            <w:gridSpan w:val="4"/>
          </w:tcPr>
          <w:p>
            <w:pPr>
              <w:spacing w:after="0"/>
              <w:rPr>
                <w:sz w:val="10"/>
                <w:szCs w:val="10"/>
                <w:color w:val="auto"/>
              </w:rPr>
            </w:pPr>
          </w:p>
        </w:tc>
        <w:tc>
          <w:tcPr>
            <w:tcW w:w="620" w:type="dxa"/>
            <w:vAlign w:val="bottom"/>
            <w:tcBorders>
              <w:top w:val="single" w:sz="8" w:color="auto"/>
            </w:tcBorders>
            <w:gridSpan w:val="9"/>
          </w:tcPr>
          <w:p>
            <w:pPr>
              <w:spacing w:after="0"/>
              <w:rPr>
                <w:sz w:val="10"/>
                <w:szCs w:val="10"/>
                <w:color w:val="auto"/>
              </w:rPr>
            </w:pPr>
          </w:p>
        </w:tc>
        <w:tc>
          <w:tcPr>
            <w:tcW w:w="220" w:type="dxa"/>
            <w:vAlign w:val="bottom"/>
            <w:tcBorders>
              <w:top w:val="single" w:sz="8" w:color="CFF0FC"/>
            </w:tcBorders>
            <w:gridSpan w:val="3"/>
          </w:tcPr>
          <w:p>
            <w:pPr>
              <w:spacing w:after="0"/>
              <w:rPr>
                <w:sz w:val="10"/>
                <w:szCs w:val="10"/>
                <w:color w:val="auto"/>
              </w:rPr>
            </w:pPr>
          </w:p>
        </w:tc>
        <w:tc>
          <w:tcPr>
            <w:tcW w:w="740" w:type="dxa"/>
            <w:vAlign w:val="bottom"/>
            <w:tcBorders>
              <w:top w:val="single" w:sz="8" w:color="auto"/>
            </w:tcBorders>
            <w:gridSpan w:val="6"/>
          </w:tcPr>
          <w:p>
            <w:pPr>
              <w:spacing w:after="0"/>
              <w:rPr>
                <w:sz w:val="10"/>
                <w:szCs w:val="10"/>
                <w:color w:val="auto"/>
              </w:rPr>
            </w:pPr>
          </w:p>
        </w:tc>
        <w:tc>
          <w:tcPr>
            <w:tcW w:w="220" w:type="dxa"/>
            <w:vAlign w:val="bottom"/>
            <w:tcBorders>
              <w:top w:val="single" w:sz="8" w:color="CFF0FC"/>
            </w:tcBorders>
            <w:gridSpan w:val="2"/>
          </w:tcPr>
          <w:p>
            <w:pPr>
              <w:spacing w:after="0"/>
              <w:rPr>
                <w:sz w:val="10"/>
                <w:szCs w:val="10"/>
                <w:color w:val="auto"/>
              </w:rPr>
            </w:pPr>
          </w:p>
        </w:tc>
        <w:tc>
          <w:tcPr>
            <w:tcW w:w="520" w:type="dxa"/>
            <w:vAlign w:val="bottom"/>
            <w:tcBorders>
              <w:top w:val="single" w:sz="8" w:color="auto"/>
            </w:tcBorders>
            <w:gridSpan w:val="5"/>
          </w:tcPr>
          <w:p>
            <w:pPr>
              <w:jc w:val="right"/>
              <w:ind w:right="458"/>
              <w:spacing w:after="0"/>
              <w:rPr>
                <w:sz w:val="20"/>
                <w:szCs w:val="20"/>
                <w:color w:val="auto"/>
              </w:rPr>
            </w:pPr>
            <w:r>
              <w:rPr>
                <w:rFonts w:ascii="Times New Roman" w:cs="Times New Roman" w:eastAsia="Times New Roman" w:hAnsi="Times New Roman"/>
                <w:sz w:val="13"/>
                <w:szCs w:val="13"/>
                <w:b w:val="1"/>
                <w:bCs w:val="1"/>
                <w:color w:val="auto"/>
              </w:rPr>
              <w:t>(606,6</w:t>
            </w:r>
          </w:p>
        </w:tc>
        <w:tc>
          <w:tcPr>
            <w:tcW w:w="220" w:type="dxa"/>
            <w:vAlign w:val="bottom"/>
            <w:tcBorders>
              <w:top w:val="single" w:sz="8" w:color="CFF0FC"/>
            </w:tcBorders>
            <w:gridSpan w:val="2"/>
          </w:tcPr>
          <w:p>
            <w:pPr>
              <w:spacing w:after="0"/>
              <w:rPr>
                <w:sz w:val="10"/>
                <w:szCs w:val="10"/>
                <w:color w:val="auto"/>
              </w:rPr>
            </w:pPr>
          </w:p>
        </w:tc>
        <w:tc>
          <w:tcPr>
            <w:tcW w:w="1060" w:type="dxa"/>
            <w:vAlign w:val="bottom"/>
            <w:tcBorders>
              <w:top w:val="single" w:sz="8" w:color="auto"/>
            </w:tcBorders>
            <w:gridSpan w:val="6"/>
          </w:tcPr>
          <w:p>
            <w:pPr>
              <w:spacing w:after="0"/>
              <w:rPr>
                <w:sz w:val="10"/>
                <w:szCs w:val="10"/>
                <w:color w:val="auto"/>
              </w:rPr>
            </w:pPr>
          </w:p>
        </w:tc>
        <w:tc>
          <w:tcPr>
            <w:tcW w:w="120" w:type="dxa"/>
            <w:vAlign w:val="bottom"/>
            <w:tcBorders>
              <w:top w:val="single" w:sz="8" w:color="CFF0FC"/>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spacing w:after="0"/>
              <w:rPr>
                <w:sz w:val="14"/>
                <w:szCs w:val="14"/>
                <w:color w:val="auto"/>
              </w:rPr>
            </w:pPr>
          </w:p>
        </w:tc>
        <w:tc>
          <w:tcPr>
            <w:tcW w:w="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bottom w:val="single" w:sz="8" w:color="auto"/>
            </w:tcBorders>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Pr>
          <w:p>
            <w:pPr>
              <w:spacing w:after="0"/>
              <w:rPr>
                <w:sz w:val="14"/>
                <w:szCs w:val="14"/>
                <w:color w:val="auto"/>
              </w:rPr>
            </w:pPr>
          </w:p>
        </w:tc>
        <w:tc>
          <w:tcPr>
            <w:tcW w:w="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spacing w:after="0"/>
              <w:rPr>
                <w:sz w:val="14"/>
                <w:szCs w:val="14"/>
                <w:color w:val="auto"/>
              </w:rPr>
            </w:pPr>
          </w:p>
        </w:tc>
        <w:tc>
          <w:tcPr>
            <w:tcW w:w="280" w:type="dxa"/>
            <w:vAlign w:val="bottom"/>
            <w:tcBorders>
              <w:bottom w:val="single" w:sz="8" w:color="auto"/>
            </w:tcBorders>
            <w:gridSpan w:val="3"/>
          </w:tcPr>
          <w:p>
            <w:pPr>
              <w:jc w:val="right"/>
              <w:ind w:right="133"/>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bottom w:val="single" w:sz="8" w:color="auto"/>
            </w:tcBorders>
            <w:gridSpan w:val="2"/>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spacing w:after="0"/>
              <w:rPr>
                <w:sz w:val="14"/>
                <w:szCs w:val="14"/>
                <w:color w:val="auto"/>
              </w:rPr>
            </w:pPr>
          </w:p>
        </w:tc>
        <w:tc>
          <w:tcPr>
            <w:tcW w:w="580" w:type="dxa"/>
            <w:vAlign w:val="bottom"/>
            <w:tcBorders>
              <w:bottom w:val="single" w:sz="8" w:color="auto"/>
            </w:tcBorders>
            <w:gridSpan w:val="5"/>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933</w:t>
            </w:r>
          </w:p>
        </w:tc>
        <w:tc>
          <w:tcPr>
            <w:tcW w:w="200" w:type="dxa"/>
            <w:vAlign w:val="bottom"/>
          </w:tcPr>
          <w:p>
            <w:pPr>
              <w:spacing w:after="0"/>
              <w:rPr>
                <w:sz w:val="14"/>
                <w:szCs w:val="14"/>
                <w:color w:val="auto"/>
              </w:rPr>
            </w:pPr>
          </w:p>
        </w:tc>
        <w:tc>
          <w:tcPr>
            <w:tcW w:w="280" w:type="dxa"/>
            <w:vAlign w:val="bottom"/>
            <w:tcBorders>
              <w:bottom w:val="single" w:sz="8" w:color="auto"/>
            </w:tcBorders>
            <w:gridSpan w:val="3"/>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$ 10</w:t>
            </w:r>
          </w:p>
        </w:tc>
        <w:tc>
          <w:tcPr>
            <w:tcW w:w="220" w:type="dxa"/>
            <w:vAlign w:val="bottom"/>
            <w:gridSpan w:val="3"/>
          </w:tcPr>
          <w:p>
            <w:pPr>
              <w:spacing w:after="0"/>
              <w:rPr>
                <w:sz w:val="14"/>
                <w:szCs w:val="14"/>
                <w:color w:val="auto"/>
              </w:rPr>
            </w:pPr>
          </w:p>
        </w:tc>
        <w:tc>
          <w:tcPr>
            <w:tcW w:w="340" w:type="dxa"/>
            <w:vAlign w:val="bottom"/>
            <w:tcBorders>
              <w:bottom w:val="single" w:sz="8" w:color="auto"/>
            </w:tcBorders>
            <w:gridSpan w:val="3"/>
          </w:tcPr>
          <w:p>
            <w:pPr>
              <w:ind w:left="20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gridSpan w:val="3"/>
          </w:tcPr>
          <w:p>
            <w:pPr>
              <w:spacing w:after="0"/>
              <w:rPr>
                <w:sz w:val="14"/>
                <w:szCs w:val="14"/>
                <w:color w:val="auto"/>
              </w:rPr>
            </w:pPr>
          </w:p>
        </w:tc>
        <w:tc>
          <w:tcPr>
            <w:tcW w:w="80" w:type="dxa"/>
            <w:vAlign w:val="bottom"/>
            <w:tcBorders>
              <w:bottom w:val="single" w:sz="8" w:color="auto"/>
            </w:tcBorders>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auto"/>
            </w:tcBorders>
            <w:gridSpan w:val="2"/>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4"/>
          </w:tcPr>
          <w:p>
            <w:pPr>
              <w:spacing w:after="0"/>
              <w:rPr>
                <w:sz w:val="14"/>
                <w:szCs w:val="14"/>
                <w:color w:val="auto"/>
              </w:rPr>
            </w:pPr>
          </w:p>
        </w:tc>
        <w:tc>
          <w:tcPr>
            <w:tcW w:w="80" w:type="dxa"/>
            <w:vAlign w:val="bottom"/>
            <w:tcBorders>
              <w:bottom w:val="single" w:sz="8" w:color="auto"/>
            </w:tcBorders>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gridSpan w:val="8"/>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610,335</w:t>
            </w:r>
          </w:p>
        </w:tc>
        <w:tc>
          <w:tcPr>
            <w:tcW w:w="220" w:type="dxa"/>
            <w:vAlign w:val="bottom"/>
            <w:gridSpan w:val="3"/>
          </w:tcPr>
          <w:p>
            <w:pPr>
              <w:spacing w:after="0"/>
              <w:rPr>
                <w:sz w:val="14"/>
                <w:szCs w:val="14"/>
                <w:color w:val="auto"/>
              </w:rPr>
            </w:pPr>
          </w:p>
        </w:tc>
        <w:tc>
          <w:tcPr>
            <w:tcW w:w="3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bottom w:val="single" w:sz="8" w:color="auto"/>
            </w:tcBorders>
            <w:gridSpan w:val="3"/>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89"/>
              </w:rPr>
              <w:t>(8,554)</w:t>
            </w:r>
          </w:p>
        </w:tc>
        <w:tc>
          <w:tcPr>
            <w:tcW w:w="220" w:type="dxa"/>
            <w:vAlign w:val="bottom"/>
            <w:gridSpan w:val="2"/>
          </w:tcPr>
          <w:p>
            <w:pPr>
              <w:spacing w:after="0"/>
              <w:rPr>
                <w:sz w:val="14"/>
                <w:szCs w:val="14"/>
                <w:color w:val="auto"/>
              </w:rPr>
            </w:pPr>
          </w:p>
        </w:tc>
        <w:tc>
          <w:tcPr>
            <w:tcW w:w="120" w:type="dxa"/>
            <w:vAlign w:val="bottom"/>
            <w:tcBorders>
              <w:bottom w:val="single" w:sz="8" w:color="auto"/>
            </w:tcBorders>
            <w:gridSpan w:val="2"/>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bottom w:val="single" w:sz="8" w:color="auto"/>
            </w:tcBorders>
            <w:gridSpan w:val="3"/>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01)</w:t>
            </w:r>
          </w:p>
        </w:tc>
        <w:tc>
          <w:tcPr>
            <w:tcW w:w="220" w:type="dxa"/>
            <w:vAlign w:val="bottom"/>
            <w:gridSpan w:val="2"/>
          </w:tcPr>
          <w:p>
            <w:pPr>
              <w:spacing w:after="0"/>
              <w:rPr>
                <w:sz w:val="14"/>
                <w:szCs w:val="14"/>
                <w:color w:val="auto"/>
              </w:rPr>
            </w:pPr>
          </w:p>
        </w:tc>
        <w:tc>
          <w:tcPr>
            <w:tcW w:w="340" w:type="dxa"/>
            <w:vAlign w:val="bottom"/>
            <w:tcBorders>
              <w:bottom w:val="single" w:sz="8" w:color="auto"/>
            </w:tcBorders>
            <w:gridSpan w:val="5"/>
          </w:tcPr>
          <w:p>
            <w:pPr>
              <w:jc w:val="right"/>
              <w:ind w:right="2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(4,810)</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Borders>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20" w:type="dxa"/>
            <w:vAlign w:val="bottom"/>
            <w:tcBorders>
              <w:bottom w:val="single" w:sz="8" w:color="auto"/>
            </w:tcBorders>
            <w:gridSpan w:val="9"/>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Borders>
              <w:bottom w:val="single" w:sz="8" w:color="auto"/>
            </w:tcBorders>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9"/>
        </w:trPr>
        <w:tc>
          <w:tcPr>
            <w:tcW w:w="11240" w:type="dxa"/>
            <w:vAlign w:val="bottom"/>
            <w:tcBorders>
              <w:bottom w:val="single" w:sz="8" w:color="9A9A9A"/>
            </w:tcBorders>
            <w:gridSpan w:val="8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-4739640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-4722495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-4739640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-4722495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-4739640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-4722495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-4739640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-4722495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-4739640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-4722495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-4739640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-4722495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-4739640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-4722495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-4739640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-4722495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-4739640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-4722495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-4739640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-4722495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-4739640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-4722495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-2794000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-2776855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-2794000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-2776855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-2794000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-2776855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-2794000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-2776855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-2794000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-2776855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-2794000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-2776855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-2794000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-2776855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-2794000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-2776855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-2794000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-2776855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-2794000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-2776855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-2794000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-2776855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-1148080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-1148080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-1148080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-1148080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-1148080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-1148080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-1148080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-1148080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-1148080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-1148080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-1148080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7"/>
        </w:trPr>
        <w:tc>
          <w:tcPr>
            <w:tcW w:w="2460" w:type="dxa"/>
            <w:vAlign w:val="bottom"/>
          </w:tcPr>
          <w:p>
            <w:pPr>
              <w:spacing w:after="0"/>
              <w:rPr>
                <w:sz w:val="11"/>
                <w:szCs w:val="11"/>
                <w:color w:val="auto"/>
              </w:rPr>
            </w:pPr>
          </w:p>
        </w:tc>
        <w:tc>
          <w:tcPr>
            <w:tcW w:w="1440" w:type="dxa"/>
            <w:vAlign w:val="bottom"/>
            <w:gridSpan w:val="6"/>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Redeemable Convertible</w:t>
            </w:r>
          </w:p>
        </w:tc>
        <w:tc>
          <w:tcPr>
            <w:tcW w:w="144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Stockholder's Deficit</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1440" w:type="dxa"/>
            <w:vAlign w:val="bottom"/>
            <w:gridSpan w:val="6"/>
          </w:tcPr>
          <w:p>
            <w:pPr>
              <w:jc w:val="center"/>
              <w:ind w:right="260"/>
              <w:spacing w:after="0" w:line="100"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440" w:type="dxa"/>
            <w:vAlign w:val="bottom"/>
            <w:gridSpan w:val="5"/>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1060" w:type="dxa"/>
            <w:vAlign w:val="bottom"/>
            <w:gridSpan w:val="3"/>
            <w:vMerge w:val="restart"/>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3"/>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w w:val="96"/>
              </w:rPr>
              <w:t>Addition</w:t>
            </w:r>
          </w:p>
        </w:tc>
        <w:tc>
          <w:tcPr>
            <w:tcW w:w="64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Shareholder</w:t>
            </w:r>
          </w:p>
        </w:tc>
        <w:tc>
          <w:tcPr>
            <w:tcW w:w="200" w:type="dxa"/>
            <w:vAlign w:val="bottom"/>
          </w:tcPr>
          <w:p>
            <w:pPr>
              <w:spacing w:after="0"/>
              <w:rPr>
                <w:sz w:val="8"/>
                <w:szCs w:val="8"/>
                <w:color w:val="auto"/>
              </w:rPr>
            </w:pPr>
          </w:p>
        </w:tc>
        <w:tc>
          <w:tcPr>
            <w:tcW w:w="66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Accumul</w:t>
            </w:r>
          </w:p>
        </w:tc>
        <w:tc>
          <w:tcPr>
            <w:tcW w:w="80" w:type="dxa"/>
            <w:vAlign w:val="bottom"/>
          </w:tcPr>
          <w:p>
            <w:pPr>
              <w:spacing w:after="0"/>
              <w:rPr>
                <w:sz w:val="8"/>
                <w:szCs w:val="8"/>
                <w:color w:val="auto"/>
              </w:rPr>
            </w:pPr>
          </w:p>
        </w:tc>
        <w:tc>
          <w:tcPr>
            <w:tcW w:w="720" w:type="dxa"/>
            <w:vAlign w:val="bottom"/>
          </w:tcPr>
          <w:p>
            <w:pPr>
              <w:jc w:val="center"/>
              <w:ind w:right="57"/>
              <w:spacing w:after="0" w:line="10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auto"/>
            </w:tcBorders>
            <w:gridSpan w:val="3"/>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1"/>
                <w:szCs w:val="11"/>
                <w:b w:val="1"/>
                <w:bCs w:val="1"/>
                <w:color w:val="auto"/>
                <w:w w:val="92"/>
              </w:rPr>
              <w:t>al</w:t>
            </w:r>
          </w:p>
        </w:tc>
        <w:tc>
          <w:tcPr>
            <w:tcW w:w="140" w:type="dxa"/>
            <w:vAlign w:val="bottom"/>
          </w:tcPr>
          <w:p>
            <w:pPr>
              <w:spacing w:after="0"/>
              <w:rPr>
                <w:sz w:val="10"/>
                <w:szCs w:val="10"/>
                <w:color w:val="auto"/>
              </w:rPr>
            </w:pPr>
          </w:p>
        </w:tc>
        <w:tc>
          <w:tcPr>
            <w:tcW w:w="500" w:type="dxa"/>
            <w:vAlign w:val="bottom"/>
          </w:tcPr>
          <w:p>
            <w:pPr>
              <w:ind w:left="60"/>
              <w:spacing w:after="0" w:line="124" w:lineRule="exact"/>
              <w:rPr>
                <w:sz w:val="20"/>
                <w:szCs w:val="20"/>
                <w:color w:val="auto"/>
              </w:rPr>
            </w:pPr>
            <w:r>
              <w:rPr>
                <w:rFonts w:ascii="Times New Roman" w:cs="Times New Roman" w:eastAsia="Times New Roman" w:hAnsi="Times New Roman"/>
                <w:sz w:val="11"/>
                <w:szCs w:val="11"/>
                <w:b w:val="1"/>
                <w:bCs w:val="1"/>
                <w:color w:val="auto"/>
              </w:rPr>
              <w:t>Note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301"/>
              <w:spacing w:after="0" w:line="124" w:lineRule="exact"/>
              <w:rPr>
                <w:sz w:val="20"/>
                <w:szCs w:val="20"/>
                <w:color w:val="auto"/>
              </w:rPr>
            </w:pPr>
            <w:r>
              <w:rPr>
                <w:rFonts w:ascii="Times New Roman" w:cs="Times New Roman" w:eastAsia="Times New Roman" w:hAnsi="Times New Roman"/>
                <w:sz w:val="11"/>
                <w:szCs w:val="11"/>
                <w:b w:val="1"/>
                <w:bCs w:val="1"/>
                <w:color w:val="auto"/>
                <w:w w:val="98"/>
              </w:rPr>
              <w:t>ated</w:t>
            </w:r>
          </w:p>
        </w:tc>
        <w:tc>
          <w:tcPr>
            <w:tcW w:w="80" w:type="dxa"/>
            <w:vAlign w:val="bottom"/>
          </w:tcPr>
          <w:p>
            <w:pPr>
              <w:spacing w:after="0"/>
              <w:rPr>
                <w:sz w:val="10"/>
                <w:szCs w:val="10"/>
                <w:color w:val="auto"/>
              </w:rPr>
            </w:pPr>
          </w:p>
        </w:tc>
        <w:tc>
          <w:tcPr>
            <w:tcW w:w="8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99"/>
        </w:trPr>
        <w:tc>
          <w:tcPr>
            <w:tcW w:w="24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Amoun</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3"/>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460" w:type="dxa"/>
            <w:vAlign w:val="bottom"/>
            <w:vMerge w:val="continue"/>
          </w:tcPr>
          <w:p>
            <w:pPr>
              <w:spacing w:after="0"/>
              <w:rPr>
                <w:sz w:val="7"/>
                <w:szCs w:val="7"/>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7"/>
                <w:szCs w:val="7"/>
                <w:color w:val="auto"/>
              </w:rPr>
            </w:pPr>
          </w:p>
        </w:tc>
        <w:tc>
          <w:tcPr>
            <w:tcW w:w="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w:t>
            </w:r>
          </w:p>
        </w:tc>
        <w:tc>
          <w:tcPr>
            <w:tcW w:w="760" w:type="dxa"/>
            <w:vAlign w:val="bottom"/>
            <w:vMerge w:val="restart"/>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restart"/>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220" w:type="dxa"/>
            <w:vAlign w:val="bottom"/>
          </w:tcPr>
          <w:p>
            <w:pPr>
              <w:spacing w:after="0"/>
              <w:rPr>
                <w:sz w:val="7"/>
                <w:szCs w:val="7"/>
                <w:color w:val="auto"/>
              </w:rPr>
            </w:pP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7"/>
                <w:szCs w:val="7"/>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200" w:type="dxa"/>
            <w:vAlign w:val="bottom"/>
          </w:tcPr>
          <w:p>
            <w:pPr>
              <w:spacing w:after="0"/>
              <w:rPr>
                <w:sz w:val="7"/>
                <w:szCs w:val="7"/>
                <w:color w:val="auto"/>
              </w:rPr>
            </w:pPr>
          </w:p>
        </w:tc>
        <w:tc>
          <w:tcPr>
            <w:tcW w:w="660" w:type="dxa"/>
            <w:vAlign w:val="bottom"/>
            <w:gridSpan w:val="3"/>
            <w:vMerge w:val="restart"/>
          </w:tcPr>
          <w:p>
            <w:pPr>
              <w:jc w:val="right"/>
              <w:ind w:right="241"/>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7"/>
                <w:szCs w:val="7"/>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49"/>
        </w:trPr>
        <w:tc>
          <w:tcPr>
            <w:tcW w:w="24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46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5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34,712,</w:t>
            </w: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141,8</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(384,</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vMerge w:val="continue"/>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13,613,269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96,887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3"/>
                <w:szCs w:val="13"/>
                <w:color w:val="auto"/>
              </w:rPr>
              <w:t>799)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(242,966)</w:t>
            </w:r>
          </w:p>
        </w:tc>
        <w:tc>
          <w:tcPr>
            <w:tcW w:w="0" w:type="dxa"/>
            <w:vAlign w:val="bottom"/>
          </w:tcPr>
          <w:p>
            <w:pPr>
              <w:spacing w:after="0"/>
              <w:rPr>
                <w:sz w:val="1"/>
                <w:szCs w:val="1"/>
                <w:color w:val="auto"/>
              </w:rPr>
            </w:pPr>
          </w:p>
        </w:tc>
      </w:tr>
      <w:tr>
        <w:trPr>
          <w:trHeight w:val="136"/>
        </w:trPr>
        <w:tc>
          <w:tcPr>
            <w:tcW w:w="2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Retroactive application of</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recapitalization</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34,712,525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(96,887)</w:t>
            </w:r>
          </w:p>
        </w:tc>
        <w:tc>
          <w:tcPr>
            <w:tcW w:w="8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6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315,1</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(384,</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48,325,794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3"/>
                <w:szCs w:val="13"/>
                <w:color w:val="auto"/>
              </w:rPr>
              <w:t>799)</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(69,619)</w:t>
            </w:r>
          </w:p>
        </w:tc>
        <w:tc>
          <w:tcPr>
            <w:tcW w:w="0" w:type="dxa"/>
            <w:vAlign w:val="bottom"/>
          </w:tcPr>
          <w:p>
            <w:pPr>
              <w:spacing w:after="0"/>
              <w:rPr>
                <w:sz w:val="1"/>
                <w:szCs w:val="1"/>
                <w:color w:val="auto"/>
              </w:rPr>
            </w:pPr>
          </w:p>
        </w:tc>
      </w:tr>
      <w:tr>
        <w:trPr>
          <w:trHeight w:val="149"/>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(12,153)</w:t>
            </w:r>
          </w:p>
        </w:tc>
        <w:tc>
          <w:tcPr>
            <w:tcW w:w="0" w:type="dxa"/>
            <w:vAlign w:val="bottom"/>
          </w:tcPr>
          <w:p>
            <w:pPr>
              <w:spacing w:after="0"/>
              <w:rPr>
                <w:sz w:val="1"/>
                <w:szCs w:val="1"/>
                <w:color w:val="auto"/>
              </w:rPr>
            </w:pPr>
          </w:p>
        </w:tc>
      </w:tr>
      <w:tr>
        <w:trPr>
          <w:trHeight w:val="125"/>
        </w:trPr>
        <w:tc>
          <w:tcPr>
            <w:tcW w:w="246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315,5</w:t>
            </w: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(396,</w:t>
            </w:r>
          </w:p>
        </w:tc>
        <w:tc>
          <w:tcPr>
            <w:tcW w:w="2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4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5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ind w:left="42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auto"/>
            </w:tcBorders>
            <w:shd w:val="clear" w:color="auto" w:fill="CFF0FC"/>
          </w:tcPr>
          <w:p>
            <w:pPr>
              <w:ind w:left="10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48,346,231</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5</w:t>
            </w:r>
          </w:p>
        </w:tc>
        <w:tc>
          <w:tcPr>
            <w:tcW w:w="2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tcBorders>
              <w:bottom w:val="single" w:sz="8" w:color="auto"/>
            </w:tcBorders>
            <w:shd w:val="clear" w:color="auto" w:fill="CFF0FC"/>
          </w:tcPr>
          <w:p>
            <w:pPr>
              <w:ind w:left="10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63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auto"/>
            </w:tcBorders>
            <w:shd w:val="clear" w:color="auto" w:fill="CFF0FC"/>
          </w:tcPr>
          <w:p>
            <w:pPr>
              <w:ind w:left="34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952</w:t>
            </w:r>
          </w:p>
        </w:tc>
        <w:tc>
          <w:tcPr>
            <w:tcW w:w="20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(81,384)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-24765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-7620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-24765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-7620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3"/>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7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(177,350)</w:t>
            </w:r>
          </w:p>
        </w:tc>
        <w:tc>
          <w:tcPr>
            <w:tcW w:w="8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(28,896)</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financing charge on convertible notes</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18,606</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 expense</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unissued shares</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earnout share liabilities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(109,261)</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60,345</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(1,255)</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 related party, net</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(1,841)</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(1,947)</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19,066</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(301)</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(6,964)</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(314)</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(280)</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loss on purchase commitments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(1,889)</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(336)</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(32,373)</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(21,626)</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(681)</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68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(681)</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(81)</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 and PIPE financing, net of transaction costs</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(4,332)</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advances to related party</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short term demand notes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(4,750)</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4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11,428</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105,858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(21,626)</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84,151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50,488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28,862</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87,364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Components of cash, cash equivalents and restricted cash:</w:t>
            </w:r>
          </w:p>
        </w:tc>
        <w:tc>
          <w:tcPr>
            <w:tcW w:w="4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28,588</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Restricted cash (included within other assets)</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28,862</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87,364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4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non-cash disclosures: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acquired in accounts payable and accrued expenses and other current</w:t>
            </w: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4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Capitalized deferred offering costs included in accounts payable and accrued expenses and other</w:t>
            </w:r>
          </w:p>
        </w:tc>
        <w:tc>
          <w:tcPr>
            <w:tcW w:w="4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warrants with convertible notes</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Conversion of convertible notes to common stock</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314,334</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exercise of warrants for common stock</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Issuance of warrants for professional services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 shareholder note receivable</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Redemption of common shares with cash held in escrow</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33,157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2"/>
        </w:trPr>
        <w:tc>
          <w:tcPr>
            <w:tcW w:w="6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-4731385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-4731385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-3693795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-3162300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-3145155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-2613660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-2596515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 w:name="page10"/>
    <w:bookmarkEnd w:id="9"/>
    <w:p>
      <w:pPr>
        <w:ind w:right="1880" w:firstLine="2258"/>
        <w:spacing w:after="0" w:line="282" w:lineRule="auto"/>
        <w:rPr>
          <w:sz w:val="20"/>
          <w:szCs w:val="20"/>
          <w:color w:val="auto"/>
        </w:rPr>
      </w:pPr>
      <w:r>
        <w:rPr>
          <w:rFonts w:ascii="Times New Roman" w:cs="Times New Roman" w:eastAsia="Times New Roman" w:hAnsi="Times New Roman"/>
          <w:sz w:val="18"/>
          <w:szCs w:val="18"/>
          <w:color w:val="auto"/>
        </w:rPr>
        <w:t xml:space="preserve">The accompanying notes are an integral part of these condensed consolidated financial statements. </w:t>
      </w:r>
      <w:r>
        <w:rPr>
          <w:rFonts w:ascii="Times New Roman" w:cs="Times New Roman" w:eastAsia="Times New Roman" w:hAnsi="Times New Roman"/>
          <w:sz w:val="18"/>
          <w:szCs w:val="18"/>
          <w:b w:val="1"/>
          <w:bCs w:val="1"/>
          <w:color w:val="auto"/>
        </w:rPr>
        <w:t>Note 1. Organization and Description of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Blaize Holdings, Inc. (together with its subsidiaries, the “Company,” “Blaize,” “we,” “our,” “us,” or the “registrant,”) is headquartered in El Dorado Hills, California, and consists of three separate operating entities: Blaize, Inc. (United States of America), Blaize New Computing Technologies India Private Limited (India), and Blaize U.K. LTD (England).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Blaize designs and develops low-power, high-efficiency, programmable artificial intelligence (“AI”) edge computing hardware and software. The Company leads a new generation of computing, which unleashes the potential of AI in order to enable significant increases in the value that technology delivers to improve the way people work and live. Blaize offers transformative edge computing solutions for AI data collection and processing, with a focus on smart vision and other AI applications for the automotive, retail, security and industrial markets.</w:t>
      </w:r>
    </w:p>
    <w:p>
      <w:pPr>
        <w:spacing w:after="0" w:line="7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November 2023, Blaize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35% ownership. As of June 30, 2025, there has not been an operating agreement executed between the Company and the holder of the 65% interest that would make us the primary beneficiary of this new legal entity. The newly established entity has incurred insignificant expenses since its incorporation. As of June 30, 2025, the Company no longer plans to move forward with the collaboration and intends to dissolve the relationship.</w:t>
      </w:r>
    </w:p>
    <w:p>
      <w:pPr>
        <w:spacing w:after="0" w:line="7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In the first quarter of 2025, the U.S. government announced a series of new tariff policies affecting imports from several countries, including China. While these actions impact a range of global trade flows, the new tariffs targeting imports from China are the most significant for our business. While the ultimate implications of the tariffs remain unclear, they could materially increase the Company's import costs and potentially lead to higher prices that reduce consumer demand. The Company is monitoring the situation closely and is proactively evaluating strategies to mitigate the impact on its supply chain and margins. These efforts include exploring alternative sourcing outside of China, working with our suppliers to manage cost increases, and implementing price increases. These actions that we take may not fully offset the impact of tariffs and, as a result, our revenues, gross margins and overall financial performance may be materially impacted.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13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 (together with the other transactions contemplated by the Merger Agreement, the “Business Combination”).</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Beginning on January 14, 2025, Blaize’s common stock and warrants trade on Nasdaq under the ticker symbols “BZAI” and “BZAIW”, respectively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13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treated as the acquired company and Legacy Blaize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was the sponsor (the “Sponsor”, “BurTech LP”) of BurTech and with the close of the Merger, BurTech LP and its affiliated entities have remained a significant shareholder in Blaize.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3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7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Since the inception of the Company and through June 30, 2025, the Company has funded its operations primarily with cash flows from contributions from founders or other investors and other financing activities. The Company has incurred recurring losses and negative cash flows since its inception, including net losses of $177.4 million and $28.9 million for the six months ended June 30, 2025 and 2024, respectively. As of June 30, 2025, the Company had cash and cash equivalents of approximately $28.6 million, and an accumulated deficit of $606.6 million.</w:t>
      </w:r>
    </w:p>
    <w:p>
      <w:pPr>
        <w:spacing w:after="0" w:line="7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If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w:t>
      </w:r>
    </w:p>
    <w:p>
      <w:pPr>
        <w:spacing w:after="0" w:line="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its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w:t>
      </w:r>
      <w:r>
        <w:rPr>
          <w:rFonts w:ascii="Times New Roman" w:cs="Times New Roman" w:eastAsia="Times New Roman" w:hAnsi="Times New Roman"/>
          <w:sz w:val="18"/>
          <w:szCs w:val="18"/>
          <w:color w:val="auto"/>
        </w:rPr>
        <w:t>, management has determined that the Company's liquidity condition raises substantial doubt about its ability to continue as a going concern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one year from the date that these condensed consolidated financial statements are issued.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generally accepted accounting principles in the United States (“U.S. GAAP”) for interim financial information and with the instructions to Form 10-Q and Rule 10-01 of Regulation S-X. Accordingly, they do not include all the information and footnotes required by U.S. GAAP for complete financial statements. The accompanying unaudited interim condensed consolidated financial statements reflect all adjustments which are, in the opinion of management, necessary for a fair statement of the results for the interim periods presented. The results of operations of any interim period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8-K/A filed with the U.S. Securities and Exchange Commission (“SEC”) on April 15, 2025, which provides a more complete discussion of the Company’s accounting policies and certain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values of convertible notes, warrant liabilities, earnout share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insurance limits. The Company has not experienced losses in such accounts and periodically evaluates the creditworthiness of its financial institutions.</w:t>
      </w:r>
    </w:p>
    <w:p>
      <w:pPr>
        <w:spacing w:after="0" w:line="7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had cash and cash equivalents balances, inclusive of funds held in escrow, in excess of domestic and international insurance limits of approximately $27.9 million and $49.3 million, respectively.</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the Company held $23.3 million in mutual funds and less than $0.1 million in U.S. Government money market funds, while as of December 31, 2024, the Company held $30.6 million in U.S. Government treasury securities, $9.2 million in U.S. Government money market funds, and $5.1 million in mutual funds (see Note 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June 30, 2025 and December 31, 2024, restricted cash of $0.3 million was included within other assets on the condensed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Funds Held in Escrow</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June 30, 2025, the Company held $0.5 million of cash in an interest-earning escrow account pursuant to certain non-redemption agreements entered into with several unaffiliated stockholders of the Company, whereby amounts are required to be held in a separate account at the Closing of the Merger and held until such time that certain non-redeemed shares are either sold in the open market and/or put to the Company. The funds in escrow approximate $11.57 per non-redeemed share (see Note 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June 30, 2025 and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Deferred offering costs consist of direct incremental legal, consulting and banking fees primarily relating to the Merger (see Note 3). The capitalized costs were fully expensed upon the consummation of the Merger within transaction costs on the condensed consolidated statement of operations during the six months ended June 30, 2025. As of June 30, 2025 and December 31, 2024, there were $0.4 million and $11.1 million, respectively, of capitalized deferred offering costs included in prepaid expenses and other current assets on the condensed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and six months ended June 30, 2025 and 2024, the Company did not recognize any impairment expense related to its long-lived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Notes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8"/>
          <w:szCs w:val="18"/>
          <w:i w:val="1"/>
          <w:iCs w:val="1"/>
          <w:color w:val="auto"/>
        </w:rPr>
        <w:t>Debt—Debt with Conversion and Other Options (Subtopic 470-20), Derivatives and Hedging—Contracts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w:t>
      </w:r>
      <w:r>
        <w:rPr>
          <w:rFonts w:ascii="Times New Roman" w:cs="Times New Roman" w:eastAsia="Times New Roman" w:hAnsi="Times New Roman"/>
          <w:sz w:val="18"/>
          <w:szCs w:val="18"/>
          <w:color w:val="auto"/>
        </w:rPr>
        <w:t>. The Company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 for its convertible notes at fair value at each period end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9). The liability associated with these warrants was subject to fair value remeasurement at each balance sheet date, with changes in fair value recorded in change in the fair value of warrant liabilities on the condensed consolidated statements of operations. The warrants were remeasured just prior to the date of the Merger and, upon the consummation of the Merger, the warrant liabilities were fully converted into shares of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21"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Merger, Legacy Blaize shareholders and outstanding equity award holders (including holders of stock options and restricted stock units (“RSUs”) are entitled to receive up to 15,000,000 shares of the Company’s Class A common stock (the “Earnout Shares”) (see Note 3). Earnout Shares issued to eligible Legacy Blaize equity holders are considered a compensatory award and are accounted for under ASC 718, </w:t>
      </w:r>
      <w:r>
        <w:rPr>
          <w:rFonts w:ascii="Times New Roman" w:cs="Times New Roman" w:eastAsia="Times New Roman" w:hAnsi="Times New Roman"/>
          <w:sz w:val="18"/>
          <w:szCs w:val="18"/>
          <w:i w:val="1"/>
          <w:iCs w:val="1"/>
          <w:color w:val="auto"/>
        </w:rPr>
        <w:t>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Further these awards have been determined to be equity classified and accordingly will not be remeasured at each reporting date.</w:t>
      </w:r>
    </w:p>
    <w:p>
      <w:pPr>
        <w:spacing w:after="0" w:line="72" w:lineRule="exact"/>
        <w:rPr>
          <w:sz w:val="20"/>
          <w:szCs w:val="20"/>
          <w:color w:val="auto"/>
        </w:rPr>
      </w:pPr>
    </w:p>
    <w:p>
      <w:pPr>
        <w:jc w:val="both"/>
        <w:ind w:right="200" w:firstLine="449"/>
        <w:spacing w:after="0" w:line="255" w:lineRule="auto"/>
        <w:rPr>
          <w:sz w:val="20"/>
          <w:szCs w:val="20"/>
          <w:color w:val="auto"/>
        </w:rPr>
      </w:pPr>
      <w:r>
        <w:rPr>
          <w:rFonts w:ascii="Times New Roman" w:cs="Times New Roman" w:eastAsia="Times New Roman" w:hAnsi="Times New Roman"/>
          <w:sz w:val="18"/>
          <w:szCs w:val="18"/>
          <w:color w:val="auto"/>
        </w:rPr>
        <w:t xml:space="preserve">Burkhan has the right to receive up to an aggregate amount of 2,600,000 shares of Blaize common stock. Earnout Shares issued to Burkhan and all other equity holders not within the scope of ASC 718 in connection with consummation of the Merger, were evaluated by management under ASC 480,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(see Note 3). The Company determined that the Earnout Shares are freestanding and not liability classified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ASC 480. Subsequently, management evaluated whether the Earnout Shares represented a derivative instrument pursuant to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The Company concluded that the Earnout Shares under the arrangement resulted in liability classification pursuant to ASC 815-40.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for such Earnout Shares will be remeasured at each reporting date with changes in the fair value recorded to earnings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the Company had (i) Series Seed Shadow Preferred Stock, (ii) Series A Shadow Preferred Stock, (iii) Series B Shadow Preferred Stock, (iv) Series C Shadow Preferred Stock, (v) Series D Shadow Preferred Stock, (vi) Series D Exchange Shadow Preferred Stock, (vii) Series D-1 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all shares of redeemable convertible preferred stock outstanding were converted into shares of common stock (see Note 3). All shares of redeemable convertible preferred stock that were converted into shares of common stock were retroactively adjusted using the exchange ratio and reclassified into permanent equity as a result of the Merger.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common stock subject to possible redemption in accordance with the guidance in ASC Topic 480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from Equity</w:t>
      </w:r>
      <w:r>
        <w:rPr>
          <w:rFonts w:ascii="Times New Roman" w:cs="Times New Roman" w:eastAsia="Times New Roman" w:hAnsi="Times New Roman"/>
          <w:sz w:val="18"/>
          <w:szCs w:val="18"/>
          <w:color w:val="auto"/>
        </w:rPr>
        <w:t>. Certain common stock is held in escrow pursuant to Non-Redemption Agreements and feature certain redemption rights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be outside of the Company’s control and within the control of the holders (see Note 3). In June 2025, the Company redeemed 2,800,489 shares of common stock. As of June 30, 2025, no shares of common stock are subject to possible redemption.</w:t>
      </w:r>
    </w:p>
    <w:p>
      <w:pPr>
        <w:spacing w:after="0" w:line="7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by adjusting the carrying value of common stock subject to possible redemption to equal the redemption value as of the end of each reporting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while the warrants are outstanding.</w:t>
      </w:r>
    </w:p>
    <w:p>
      <w:pPr>
        <w:spacing w:after="0" w:line="7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 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June 30,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in which it determines revenue recognition through the following steps: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Revenue from hardware product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6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Licenses for on-premises software provide the customer with a right to use the software as it exists when made available to the customer. Revenue from distinct on-premises licenses is recognized up-front at the point in time when the software is made available to the customer.</w:t>
      </w:r>
    </w:p>
    <w:p>
      <w:pPr>
        <w:spacing w:after="0" w:line="5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revenue from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7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tbl>
      <w:tblPr>
        <w:tblLayout w:type="fixed"/>
        <w:tblInd w:w="0" w:type="dxa"/>
        <w:tblCellMar>
          <w:top w:w="0" w:type="dxa"/>
          <w:left w:w="0" w:type="dxa"/>
          <w:bottom w:w="0" w:type="dxa"/>
          <w:right w:w="0" w:type="dxa"/>
        </w:tblCellMar>
      </w:tblPr>
      <w:tr>
        <w:trPr>
          <w:trHeight w:val="158"/>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5"/>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Additions to deferred revenue</w:t>
            </w:r>
            <w:r>
              <w:rPr>
                <w:rFonts w:ascii="Times New Roman" w:cs="Times New Roman" w:eastAsia="Times New Roman" w:hAnsi="Times New Roman"/>
                <w:sz w:val="24"/>
                <w:szCs w:val="24"/>
                <w:color w:val="auto"/>
                <w:vertAlign w:val="superscript"/>
              </w:rPr>
              <w:t>(1)</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revenue recognized</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6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35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35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-156845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-156845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-156845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-10795</wp:posOffset>
            </wp:positionV>
            <wp:extent cx="33604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420" w:hanging="4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deferred revenue during the three and six months ended June 30, 2025 are from related parties (see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-95885</wp:posOffset>
            </wp:positionV>
            <wp:extent cx="33604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54"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7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RSUs is determined based on the Company’s estimated fair value of common stock at the date of grant. Due to the Merger that occurred during the six months ended June 30, 2025, the Company recorded cumulative stock-based compensation using the accelerated attribution method for those RSUs for which the service condition was satisfied prior to the Merger, and will record the remaining unrecognized stock-based compensation over the remainder of the requisite service period (see Note 13).</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Fair Value Measurements, requires fair value measurements be classified and disclosed in one of the following pricing categories:</w:t>
      </w:r>
    </w:p>
    <w:p>
      <w:pPr>
        <w:spacing w:after="0" w:line="77" w:lineRule="exact"/>
        <w:rPr>
          <w:sz w:val="20"/>
          <w:szCs w:val="20"/>
          <w:color w:val="auto"/>
        </w:rPr>
      </w:pPr>
    </w:p>
    <w:p>
      <w:pPr>
        <w:jc w:val="both"/>
        <w:ind w:left="780" w:right="20" w:hanging="7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50" w:lineRule="exact"/>
        <w:rPr>
          <w:sz w:val="20"/>
          <w:szCs w:val="20"/>
          <w:color w:val="auto"/>
        </w:rPr>
      </w:pPr>
    </w:p>
    <w:p>
      <w:pPr>
        <w:jc w:val="both"/>
        <w:ind w:left="780" w:hanging="7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or for which all significant inputs are observable or can be corroborated by observable market data, either directly or indirectly, for substantially the full term of the asset or liability.</w:t>
      </w:r>
    </w:p>
    <w:p>
      <w:pPr>
        <w:spacing w:after="0" w:line="65" w:lineRule="exact"/>
        <w:rPr>
          <w:sz w:val="20"/>
          <w:szCs w:val="20"/>
          <w:color w:val="auto"/>
        </w:rPr>
      </w:pPr>
    </w:p>
    <w:p>
      <w:pPr>
        <w:jc w:val="both"/>
        <w:ind w:left="780" w:right="20" w:hanging="7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situations in which there is little or no market data for the asset or liability at the measurement date. This requires the reporting entity to develop its own assumptions that market participants would use in pricing the asset or liability.</w:t>
      </w:r>
    </w:p>
    <w:p>
      <w:pPr>
        <w:spacing w:after="0" w:line="6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cash, funds held in escrow, accounts receivable, prepaid expenses and other current assets, accounts payable, accrued loss on purchase commitments, working capital loans, and accrued expenses and other liabilities approximate their fair values due to their short-term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States dollar (“USD”). The local currencies of its foreign subsidiaries are the Indian rupee and British pound,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net, in the condensed consolidated statements of operations. During the three and six months ended June 30, 2025 and 2024, foreign currency transaction gains and losses were immaterial.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treasury securities, mutual funds, and money market funds. The Company’s cash accounts in a financial institution may at times exceed the Federal Depository Insurance coverage of $250,000. Investments in money markets are not insured or guaranteed by the Federal Deposit Insurance Corporation or any other government agency.</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 The Company manages its accounts receivable credit risk through ongoing credit evaluation of its customers' financial conditions.</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two customers, one a related party (see Note 15), accounted for approximately 58% and 30% of the Company's accounts receivable. As of December 31, 2024, one customer accounted for approximately 98% of the Company’s accounts receivable.</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The following table presents the Company's significant customers: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30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8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A (See Note 15)</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B (See Note 15)</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C (See Note 15)</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Customer D</w:t>
            </w:r>
          </w:p>
        </w:tc>
        <w:tc>
          <w:tcPr>
            <w:tcW w:w="820" w:type="dxa"/>
            <w:vAlign w:val="bottom"/>
          </w:tcPr>
          <w:p>
            <w:pPr>
              <w:spacing w:after="0"/>
              <w:rPr>
                <w:sz w:val="16"/>
                <w:szCs w:val="16"/>
                <w:color w:val="auto"/>
              </w:rPr>
            </w:pPr>
          </w:p>
        </w:tc>
        <w:tc>
          <w:tcPr>
            <w:tcW w:w="60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880" w:type="dxa"/>
            <w:vAlign w:val="bottom"/>
          </w:tcPr>
          <w:p>
            <w:pPr>
              <w:spacing w:after="0"/>
              <w:rPr>
                <w:sz w:val="16"/>
                <w:szCs w:val="16"/>
                <w:color w:val="auto"/>
              </w:rPr>
            </w:pP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10%</w:t>
            </w:r>
          </w:p>
        </w:tc>
        <w:tc>
          <w:tcPr>
            <w:tcW w:w="86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E</w:t>
            </w:r>
          </w:p>
        </w:tc>
        <w:tc>
          <w:tcPr>
            <w:tcW w:w="8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hanging="332"/>
        <w:spacing w:after="0"/>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less than 10% for the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w:t>
      </w:r>
    </w:p>
    <w:p>
      <w:pPr>
        <w:spacing w:after="0" w:line="7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Shares used in the calculation of basic net loss per common share includes vested but unissued shares underlying awards of restricted common stock and unissued shares of common stock that the Company is contractually obligated to issue. Diluted net loss per share is computed by dividing the net loss attributable to common stockholders by the weighted average number of common stock and potentially dilutive securities outstanding for the period. For purposes of this calculation, stock options and warrants have been excluded from the calculation of diluted net loss per share attributable to common stockholders as their effect is anti-dilutive for all periods presented.</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the Merger has been accounted for as a reverse recapitalization, net loss per share was also retroactively adjusted for periods ended prior to the Merger and as such, the Company's only participating securities for the three and six months ended June 30, 2025 and 2024 are shares of the Company's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The Company adopted this standard on January 1, 2025. The adoption of this standard did not have an impact on the condensed consolidated financial statements.</w:t>
      </w:r>
    </w:p>
    <w:p>
      <w:pPr>
        <w:spacing w:after="0" w:line="72"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Blaize for the annual period ended December 31, 2025. The Company is currently evaluating the impact that the adoption of this ASU will have on the consolidated financial statements.</w:t>
      </w:r>
    </w:p>
    <w:p>
      <w:pPr>
        <w:spacing w:after="0" w:line="6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be accounted for as an induced conversion or extinguishment. This guidance is effective for Blaize beginning on January 1, 2026, and early adoption is permitted, although the Company does not plan to early adopt. The Company is currently evaluating the impact that the adoption of this ASU will have on the condensed consolidated financial statements.</w:t>
      </w:r>
    </w:p>
    <w:p>
      <w:pPr>
        <w:spacing w:after="0" w:line="75"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Blaize beginning on January 1, 2027, and early adoption is permitted, although the Company does not plan to early adopt. The Company is currently evaluating the impact of the adoption of this standard.</w:t>
      </w:r>
    </w:p>
    <w:p>
      <w:pPr>
        <w:spacing w:after="0" w:line="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recently issued, not yet effective, accounting standards would have a material effect on the accompanying condensed consolidated financial statements, if adopted.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Merger and Reverse Recapitalization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each share of Legacy Blaize common stock issued and outstanding was canceled and converted into the right to receive approximately 0.78 shares (the “Exchange Ratio”) of common stock of BurTech.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BurTech LP issued a secured promissory note and pledge agreement (the “Shareholder Note”) to BurTech in the principal amount of $8,753,744 in exchange for 750,000 shares of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1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Non-Redemption Agreements with several unaffiliated stockholders of BurTech (each, an “Investor”) who agreed not to redeem (or validly rescind any redemption requests on) their shares of common stock (“Non-Redeemed Shares”). These Non-Redeemed Shares were exchanged for shares of the Company's common stock and are held in a separate escrow account. In exchange for the foregoing commitments not to redeem the Non-Redeemed Shares, the Company and BurTech LP agreed to guarantee that each Investor receives a return of $1.50 per Non-Redeemed Share above the initial $11.57 per share (for a total redemption value of $13.07 per Non-Redeemed Share) held in the related cash escrow account if the Investor sells the Non-Redeemed Shares in the open market. The funds in the related cash escrow account are sufficient to fulfill the Company’s redemption obligation under the Non-Redemption Agreement. Starting 90 days after the Closing Date through 180 days after the Closing Date, each Investor has the right to exercise a put option to receive $13.07 per Non-Redeemed Share. The Sponsor, and not the Company, is contractually obligated for the $1.50 per share above the $11.57 held in cash escrow as it relates to the put option. Accordingly, the Company did not recognize a non-redemption liability as of the Closing Date or June 30, 2025.</w:t>
      </w:r>
    </w:p>
    <w:p>
      <w:pPr>
        <w:spacing w:after="0" w:line="86"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following table reconciles the elements of the Merger to the condensed consolidated statement of cash flows and the condensed consolidated statement of stockholders’ equity (deficit) for the six months ended June 30, 2025:</w:t>
      </w:r>
    </w:p>
    <w:tbl>
      <w:tblPr>
        <w:tblLayout w:type="fixed"/>
        <w:tblInd w:w="0" w:type="dxa"/>
        <w:tblCellMar>
          <w:top w:w="0" w:type="dxa"/>
          <w:left w:w="0" w:type="dxa"/>
          <w:bottom w:w="0" w:type="dxa"/>
          <w:right w:w="0" w:type="dxa"/>
        </w:tblCellMar>
      </w:tblPr>
      <w:tr>
        <w:trPr>
          <w:trHeight w:val="156"/>
        </w:trPr>
        <w:tc>
          <w:tcPr>
            <w:tcW w:w="7720" w:type="dxa"/>
            <w:vAlign w:val="bottom"/>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(Amounts in thousands)</w:t>
            </w:r>
          </w:p>
        </w:tc>
        <w:tc>
          <w:tcPr>
            <w:tcW w:w="9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jc w:val="right"/>
              <w:ind w:right="662"/>
              <w:spacing w:after="0" w:line="155" w:lineRule="exact"/>
              <w:rPr>
                <w:sz w:val="20"/>
                <w:szCs w:val="20"/>
                <w:color w:val="auto"/>
              </w:rPr>
            </w:pPr>
            <w:r>
              <w:rPr>
                <w:rFonts w:ascii="Times New Roman" w:cs="Times New Roman" w:eastAsia="Times New Roman" w:hAnsi="Times New Roman"/>
                <w:sz w:val="14"/>
                <w:szCs w:val="14"/>
                <w:b w:val="1"/>
                <w:bCs w:val="1"/>
                <w:color w:val="auto"/>
              </w:rPr>
              <w:t>Recapitalization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 BurTech trust and cash, net of redemptions</w:t>
            </w:r>
          </w:p>
        </w:tc>
        <w:tc>
          <w:tcPr>
            <w:tcW w:w="158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Non-redemption escrow</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(33,061)</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 PIPE</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transaction costs and advisory paid by BurTech</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proceeds from Merger</w:t>
            </w:r>
          </w:p>
        </w:tc>
        <w:tc>
          <w:tcPr>
            <w:tcW w:w="96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(126,025)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(16,013)</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Merger and PIPE financing</w:t>
            </w:r>
          </w:p>
        </w:tc>
        <w:tc>
          <w:tcPr>
            <w:tcW w:w="96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(126,164)</w:t>
            </w: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3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the consummation of the Merger:</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BurTech Class A common stock, outstanding prior to the Merger</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10,816,995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 forfeiture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BurTech Class A common stock subject to redemption, outstanding prior to the Merger</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4,104,543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Redemption of BurTech Class A common stock</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(937,844)</w:t>
            </w: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BurTech Class A Shares in non-redemption escrow</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(2,854,242)</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common stock of BurTech</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9,879,452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PIPE shares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BurTech Class B common stock, outstanding prior to the Merger</w:t>
            </w:r>
          </w:p>
        </w:tc>
        <w:tc>
          <w:tcPr>
            <w:tcW w:w="9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11,408,957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Legacy Blaize shares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87,314,968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9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98,818,874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number of Legacy Blaize shares was determined as follows: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Legacy Blaize Shares</w:t>
            </w:r>
          </w:p>
        </w:tc>
        <w:tc>
          <w:tcPr>
            <w:tcW w:w="0" w:type="dxa"/>
            <w:vAlign w:val="bottom"/>
          </w:tcPr>
          <w:p>
            <w:pPr>
              <w:spacing w:after="0"/>
              <w:rPr>
                <w:sz w:val="1"/>
                <w:szCs w:val="1"/>
                <w:color w:val="auto"/>
              </w:rPr>
            </w:pPr>
          </w:p>
        </w:tc>
      </w:tr>
      <w:tr>
        <w:trPr>
          <w:trHeight w:val="124"/>
        </w:trPr>
        <w:tc>
          <w:tcPr>
            <w:tcW w:w="7720" w:type="dxa"/>
            <w:vAlign w:val="bottom"/>
          </w:tcPr>
          <w:p>
            <w:pPr>
              <w:spacing w:after="0"/>
              <w:rPr>
                <w:sz w:val="10"/>
                <w:szCs w:val="10"/>
                <w:color w:val="auto"/>
              </w:rPr>
            </w:pPr>
          </w:p>
        </w:tc>
        <w:tc>
          <w:tcPr>
            <w:tcW w:w="15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Legacy Blaize Shares</w:t>
            </w:r>
          </w:p>
        </w:tc>
        <w:tc>
          <w:tcPr>
            <w:tcW w:w="22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After Conversion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17,518,791</w:t>
            </w: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13,663,527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44,506,781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34,712,525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40,302,382</w:t>
            </w: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31,433,259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exercise of warrants</w:t>
            </w: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9,623,432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111,951,386</w:t>
            </w: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87,314,968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202"/>
        </w:trPr>
        <w:tc>
          <w:tcPr>
            <w:tcW w:w="7720" w:type="dxa"/>
            <w:vAlign w:val="bottom"/>
            <w:tcBorders>
              <w:top w:val="single" w:sz="8" w:color="CFF0FC"/>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16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-813435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-796290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-813435</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Arrangement with holders of Legacy Blaize Common Stock and outstanding equity awards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the Company’s closing share price on 20 trading days out of 30 consecutive trading days equals or exceeds defined per share thresholds in each tranche as follows:</w:t>
      </w:r>
    </w:p>
    <w:p>
      <w:pPr>
        <w:spacing w:after="0" w:line="72" w:lineRule="exact"/>
        <w:rPr>
          <w:sz w:val="20"/>
          <w:szCs w:val="20"/>
          <w:color w:val="auto"/>
        </w:rPr>
      </w:pPr>
    </w:p>
    <w:p>
      <w:pPr>
        <w:ind w:left="900" w:hanging="44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$12.50 per share, 3,750,000 Earnout Shares will be issued;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$15.00 per share, an additional 3,750,000 Earnout Shares will be issued;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$17.50 per share, an additional 3,750,000 Earnout Shares will be issued;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$20.00 per share, an additional 3,750,000 Earnout Shares will be issued</w:t>
      </w:r>
    </w:p>
    <w:p>
      <w:pPr>
        <w:spacing w:after="0" w:line="6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Company employees entitled to receive Earnout Shares with respect to Blaize options and RSUs (“Employee Earnout Shares”) must provide service through the date the target is achieved and if an employee departs, the forfeited Employee Earnout Shares are reallocated to Legacy Blaize shareholders and the remaining pool equity award holders who received the right to the Earnout Shares on the Closing Date. The reallocated shares are considered a forfeiture of the original award and grant of a new award.</w:t>
      </w:r>
    </w:p>
    <w:p>
      <w:pPr>
        <w:spacing w:after="0" w:line="7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estimated fair value of the Earnout Shares subject to ASC 718 was $82.9 million, assuming the service conditions are met and assuming no forfeitures.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 During the three and six months ended June 30, 2025, the Company recorded $4.1 million and $7.6 million, respectively, in stock-based compensation expense related to the Employee Earnout Shares. During the three and six months ended June 30, 2025, 18,399 and 55,489 employee earnout shares, respectively, were forfeited due to employee terminations.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there was approximately $74.6 million of total unrecognized compensation cost related to the Employee Earnout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Company’s revenue information by customer geographical region: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8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9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98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38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38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provides a disaggregation of revenue based on the method of revenue recognition: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310"/>
        </w:trPr>
        <w:tc>
          <w:tcPr>
            <w:tcW w:w="3580" w:type="dxa"/>
            <w:vAlign w:val="bottom"/>
            <w:tcBorders>
              <w:top w:val="single" w:sz="8" w:color="CFF0FC"/>
              <w:bottom w:val="single" w:sz="8" w:color="9A9A9A"/>
            </w:tcBorders>
          </w:tcPr>
          <w:p>
            <w:pPr>
              <w:spacing w:after="0"/>
              <w:rPr>
                <w:sz w:val="24"/>
                <w:szCs w:val="24"/>
                <w:color w:val="auto"/>
              </w:rPr>
            </w:pPr>
          </w:p>
        </w:tc>
        <w:tc>
          <w:tcPr>
            <w:tcW w:w="78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-882015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-864870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-882015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-864870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-882015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-864870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21"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value hierarchy</w:t>
      </w:r>
      <w:r>
        <w:rPr>
          <w:rFonts w:ascii="Times New Roman" w:cs="Times New Roman" w:eastAsia="Times New Roman" w:hAnsi="Times New Roman"/>
          <w:sz w:val="18"/>
          <w:szCs w:val="18"/>
          <w:b w:val="1"/>
          <w:bCs w:val="1"/>
          <w:color w:val="auto"/>
        </w:rPr>
        <w:t>:</w:t>
      </w:r>
    </w:p>
    <w:tbl>
      <w:tblPr>
        <w:tblLayout w:type="fixed"/>
        <w:tblInd w:w="0" w:type="dxa"/>
        <w:tblCellMar>
          <w:top w:w="0" w:type="dxa"/>
          <w:left w:w="0" w:type="dxa"/>
          <w:bottom w:w="0" w:type="dxa"/>
          <w:right w:w="0" w:type="dxa"/>
        </w:tblCellMar>
      </w:tblPr>
      <w:tr>
        <w:trPr>
          <w:trHeight w:val="156"/>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center"/>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As of June 30, 2025</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Unissued common stock liability</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6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 convertible notes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 liabilities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-2750820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-2750820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-2750820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-2750820</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-1885315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-1868170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-1885315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-1868170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-1885315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-1868170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-1885315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-1868170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-882015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-864870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-882015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-864870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-882015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-864870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Level 1 instruments consisted of U.S. Government treasury securities, U.S. Government money market funds and mutual funds because they were valued using quoted prices in active markets and can be redeemed on any business days with an intermediary. The accrued liability associated with unissued shares of the Company's common stock due to advisors of the Company under service contracts is also included as a Level 1 instrument as it uses the Company's common stock price as of period end for remeasurement. The unissued common stock liability is included within accrued expenses and other current liabilities on the condensed consolidated balance sheet as of June 30, 2025.</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Level 3 instruments consist of earnout share liabilities. The Company has elected to apply the fair value option to measure all historical convertible notes and warrant liabilities (see Notes 8 and 9) due to the nature of their embedded features.</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the remeasurement of our outstanding historical convertible notes and warrant liabilities (see Notes 8 and 9) and current earnout shares. The respective changes for remeasurement are reflected in the change in fair value of convertible notes, change in fair value of warrant liabilities and change in fair value of the earnout liabilities in the condensed consolidated statements of operations.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 in the fair values of the Company's Level 3 liabilities during the three and six months ended June 30, 2025 and 2024, were as follows:</w:t>
      </w:r>
    </w:p>
    <w:tbl>
      <w:tblPr>
        <w:tblLayout w:type="fixed"/>
        <w:tblInd w:w="0" w:type="dxa"/>
        <w:tblCellMar>
          <w:top w:w="0" w:type="dxa"/>
          <w:left w:w="0" w:type="dxa"/>
          <w:bottom w:w="0" w:type="dxa"/>
          <w:right w:w="0" w:type="dxa"/>
        </w:tblCellMar>
      </w:tblPr>
      <w:tr>
        <w:trPr>
          <w:trHeight w:val="151"/>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13"/>
                <w:szCs w:val="13"/>
                <w:color w:val="auto"/>
              </w:rPr>
            </w:pPr>
          </w:p>
        </w:tc>
        <w:tc>
          <w:tcPr>
            <w:tcW w:w="920" w:type="dxa"/>
            <w:vAlign w:val="bottom"/>
          </w:tcPr>
          <w:p>
            <w:pPr>
              <w:jc w:val="center"/>
              <w:ind w:right="97"/>
              <w:spacing w:after="0" w:line="15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1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of earnout share awards</w:t>
            </w:r>
          </w:p>
        </w:tc>
        <w:tc>
          <w:tcPr>
            <w:tcW w:w="10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138,471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(109,261)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(271,158)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(389,388)</w:t>
            </w:r>
          </w:p>
        </w:tc>
        <w:tc>
          <w:tcPr>
            <w:tcW w:w="0" w:type="dxa"/>
            <w:vAlign w:val="bottom"/>
          </w:tcPr>
          <w:p>
            <w:pPr>
              <w:spacing w:after="0"/>
              <w:rPr>
                <w:sz w:val="1"/>
                <w:szCs w:val="1"/>
                <w:color w:val="auto"/>
              </w:rPr>
            </w:pPr>
          </w:p>
        </w:tc>
      </w:tr>
      <w:tr>
        <w:trPr>
          <w:trHeight w:val="25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0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00" w:type="dxa"/>
            <w:vAlign w:val="bottom"/>
            <w:shd w:val="clear" w:color="auto" w:fill="CFF0FC"/>
          </w:tcPr>
          <w:p>
            <w:pPr>
              <w:spacing w:after="0"/>
              <w:rPr>
                <w:sz w:val="21"/>
                <w:szCs w:val="21"/>
                <w:color w:val="auto"/>
              </w:rPr>
            </w:pPr>
          </w:p>
        </w:tc>
        <w:tc>
          <w:tcPr>
            <w:tcW w:w="38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203"/>
        </w:trPr>
        <w:tc>
          <w:tcPr>
            <w:tcW w:w="498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-814070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-796290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-814070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-796290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-814070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-796290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-814070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-796290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80" w:type="dxa"/>
            <w:vAlign w:val="bottom"/>
          </w:tcPr>
          <w:p>
            <w:pPr>
              <w:spacing w:after="0"/>
              <w:rPr>
                <w:sz w:val="13"/>
                <w:szCs w:val="13"/>
                <w:color w:val="auto"/>
              </w:rPr>
            </w:pPr>
          </w:p>
        </w:tc>
        <w:tc>
          <w:tcPr>
            <w:tcW w:w="10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center"/>
              <w:ind w:left="2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9,507</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center"/>
              <w:ind w:left="2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16,764</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24"/>
                <w:szCs w:val="24"/>
                <w:color w:val="auto"/>
              </w:rPr>
            </w:pPr>
          </w:p>
        </w:tc>
        <w:tc>
          <w:tcPr>
            <w:tcW w:w="1440" w:type="dxa"/>
            <w:vAlign w:val="bottom"/>
            <w:gridSpan w:val="6"/>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 Convertible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14,641</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16,042</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133,088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156,795</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80" w:type="dxa"/>
            <w:vAlign w:val="bottom"/>
          </w:tcPr>
          <w:p>
            <w:pPr>
              <w:spacing w:after="0"/>
              <w:rPr>
                <w:sz w:val="24"/>
                <w:szCs w:val="24"/>
                <w:color w:val="auto"/>
              </w:rPr>
            </w:pPr>
          </w:p>
        </w:tc>
        <w:tc>
          <w:tcPr>
            <w:tcW w:w="10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center"/>
              <w:ind w:left="21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33,398</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8,154</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56,101</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Issuance of 2023 convertible note warrants and related warrants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center"/>
              <w:ind w:left="21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133,088</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7,665</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156,795</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-2322195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-2305050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-2322195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-2305050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-2322195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-2305050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-2322195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-2305050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-1173480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-1156970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-1173480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-1156970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-1173480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-1156970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-1173480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-1156970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-1173480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231F20"/>
        </w:rPr>
        <w:t>The Company's convertible notes and related warrants outstanding as of December 31, 2024 were classified within level 3 of the fair value hierarchy because there was no active market for the liabilities or similar instruments.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and six months ended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all then outstanding convertible notes and warrant liabilities were converted into shares of common stock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 of the following:</w:t>
      </w:r>
    </w:p>
    <w:tbl>
      <w:tblPr>
        <w:tblLayout w:type="fixed"/>
        <w:tblInd w:w="0" w:type="dxa"/>
        <w:tblCellMar>
          <w:top w:w="0" w:type="dxa"/>
          <w:left w:w="0" w:type="dxa"/>
          <w:bottom w:w="0" w:type="dxa"/>
          <w:right w:w="0" w:type="dxa"/>
        </w:tblCellMar>
      </w:tblPr>
      <w:tr>
        <w:trPr>
          <w:trHeight w:val="15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6"/>
              <w:spacing w:after="0" w:line="151" w:lineRule="exact"/>
              <w:rPr>
                <w:sz w:val="20"/>
                <w:szCs w:val="20"/>
                <w:color w:val="auto"/>
              </w:rPr>
            </w:pPr>
            <w:r>
              <w:rPr>
                <w:rFonts w:ascii="Times New Roman" w:cs="Times New Roman" w:eastAsia="Times New Roman" w:hAnsi="Times New Roman"/>
                <w:sz w:val="14"/>
                <w:szCs w:val="14"/>
                <w:b w:val="1"/>
                <w:bCs w:val="1"/>
                <w:color w:val="auto"/>
              </w:rPr>
              <w:t>As of June 30,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subject to United States federal and state taxes as well as other foreign income taxes.</w:t>
      </w:r>
    </w:p>
    <w:p>
      <w:pPr>
        <w:spacing w:after="0" w:line="11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recorded provision for income taxes of $39 thousand and $0.2 million, respectively, which represented effective tax rates of (0.1)%, respectively, while during the three and six months ended June 30, 2024, the Company recorded a provision for income taxes of $0.1 million and $0.3 million respectively, which represented effective tax rates of (1.1)% and (1.0)%, respectively. The effective income tax rates for the three and six months ended June 30, 2025 and 2024 are different from the U.S. federal statutory rate of 21.0% due to the valuation allowance.</w:t>
      </w:r>
    </w:p>
    <w:p>
      <w:pPr>
        <w:spacing w:after="0" w:line="7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The OBBBA makes permanent key elements of the Tax Cuts and Jobs Act, including 100% bonus depreciation, domestic research cost expensing, and the business interest expense limitation. ASC 740, “Income Taxes”, requires the effects of changes in tax rates and laws on deferred tax balances to be recognized in the period in which the legislation is enacted. The Company is in the process of evaluating the impact of OBBBA on our condensed consolidated financial statements. Any results of such evaluations will be reflected in the Company's consolidated financial statements included in the Company's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8. Convertible Notes and Demand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Pay-to-Play Convertible Notes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15). Pursuant to the 2022 P2P NPA, each Lender will pay the Company an agreed upon amount (“Consideration”) in return for one or more promissory notes. The P2P Notes had an initial 24-month term from the date of the 2022 P2P NPA, which is December 9, 2024.</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2022 P2P NPA provided that the P2P Notes would be converted upon the consummation of the Merger and that, at such time, all outstanding principal and unpaid accrued interest due on the P2P Notes shall be converted into common stock.</w:t>
      </w:r>
    </w:p>
    <w:p>
      <w:pPr>
        <w:spacing w:after="0" w:line="5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w:t>
      </w:r>
    </w:p>
    <w:p>
      <w:pPr>
        <w:spacing w:after="0" w:line="8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stock remains as converted common stock for that portion equal to the shortfall in its pro-rata contribution. Additionally, investors in the P2P Notes also received warrants (the “P2P Warrants”) whose total exercise price is determined based on the timing of investment as well as the level of investor participation vis-à-vis each investor’s designated pro-rata portion.</w:t>
      </w:r>
    </w:p>
    <w:p>
      <w:pPr>
        <w:spacing w:after="0" w:line="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P2P notes, the outstanding P2P Notes were converted, at the discretion of the holders, to shares of common stock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Convertible Notes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w:t>
      </w:r>
    </w:p>
    <w:p>
      <w:pPr>
        <w:spacing w:after="0" w:line="6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Lenders”,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April 22, 2024 amendment, the convertible notes were subject to automatic conversion upon the consummation of a SPAC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3" w:name="page24"/>
    <w:bookmarkEnd w:id="23"/>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distributees were not required to execute any lock-up or similar agreement restricting transfer or disposition of all shares of Blaize's common stock issuable upon the conversion of the notes, all Company shares issuable upon the exercise of warrants issued to the RT Parties, and all securities of Blaize to be issued to the RT Parties upon the consummation of the Merger.</w:t>
      </w:r>
    </w:p>
    <w:p>
      <w:pPr>
        <w:spacing w:after="0" w:line="79" w:lineRule="exact"/>
        <w:rPr>
          <w:sz w:val="20"/>
          <w:szCs w:val="20"/>
          <w:color w:val="auto"/>
        </w:rPr>
      </w:pPr>
    </w:p>
    <w:p>
      <w:pPr>
        <w:jc w:val="both"/>
        <w:ind w:right="160" w:firstLine="449"/>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79" w:lineRule="exact"/>
        <w:rPr>
          <w:sz w:val="20"/>
          <w:szCs w:val="20"/>
          <w:color w:val="auto"/>
        </w:rPr>
      </w:pPr>
    </w:p>
    <w:p>
      <w:pPr>
        <w:jc w:val="both"/>
        <w:ind w:right="180" w:firstLine="449"/>
        <w:spacing w:after="0" w:line="282" w:lineRule="auto"/>
        <w:rPr>
          <w:sz w:val="20"/>
          <w:szCs w:val="20"/>
          <w:color w:val="auto"/>
        </w:rPr>
      </w:pPr>
      <w:r>
        <w:rPr>
          <w:rFonts w:ascii="Times New Roman" w:cs="Times New Roman" w:eastAsia="Times New Roman" w:hAnsi="Times New Roman"/>
          <w:sz w:val="18"/>
          <w:szCs w:val="18"/>
          <w:color w:val="auto"/>
        </w:rPr>
        <w:t>Upfront costs and fees related to items for which the fair value option is elected must be recognized immediately. As such, issuance costs (warrants) and fees associated with the convertible notes were recognized in earnings in the years that they were issued.</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One investor who purchased a 2023 Convertible Note also received an RSU grant for a total of 6,000,000 RSUs (see Note 15), which vested in full in the year ended December 31, 2023.</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June 30, 2025 and December 31, 2024, the Company had outstanding Working Capital Loans of $1.5 million and zero,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Party</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January 13, 2025, BurTech LP provided working capital and extension deposits on behalf of BurTech. These amounts are reflected on the condensed consolidated balance sheets as advances from related party. These advances are non-interest bearing and payable on demand. As of June 30, 2025 and December 31, 2024, the Company had outstanding advances from the related party in the amount of $2.9 million and zero,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connection with the Company's various historical debt and equity financing arrangements, the Company issued convertible preferred stock warrants to purchase shares of its various series of convertible preferred stock.</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convertible preferred stock warrants were classified as liabilities, with changes in fair value recorded through earnings, as the underlying convertible preferred shares can be redeemed by the holders of these shares upon the occurrence of certain events that are outside of our control. As of December 31, 2024, the Company had outstanding warrant liabilities of $14.7 million.</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After the Private Warrants Conversion, the Private Warrants are indexed to the shares of Company's common stock, and therefore were reclassified from debt classified instruments to equity classified instruments.</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legacy warrants net exercised, and were automatically converted into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Publicly and Privately Traded Warrants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outstanding immediately prior to the Merger became warrants of Blaize.</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may redeem the outstanding warrants:</w:t>
      </w:r>
    </w:p>
    <w:p>
      <w:pPr>
        <w:spacing w:after="0" w:line="117" w:lineRule="exact"/>
        <w:rPr>
          <w:sz w:val="20"/>
          <w:szCs w:val="20"/>
          <w:color w:val="auto"/>
        </w:rPr>
      </w:pPr>
    </w:p>
    <w:p>
      <w:pPr>
        <w:ind w:left="900" w:hanging="44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63" w:lineRule="exact"/>
        <w:rPr>
          <w:rFonts w:ascii="Times New Roman" w:cs="Times New Roman" w:eastAsia="Times New Roman" w:hAnsi="Times New Roman"/>
          <w:sz w:val="18"/>
          <w:szCs w:val="18"/>
          <w:color w:val="auto"/>
        </w:rPr>
      </w:pPr>
    </w:p>
    <w:p>
      <w:pPr>
        <w:ind w:left="900" w:right="20" w:hanging="443"/>
        <w:spacing w:after="0" w:line="281"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1" w:lineRule="exact"/>
        <w:rPr>
          <w:rFonts w:ascii="Times New Roman" w:cs="Times New Roman" w:eastAsia="Times New Roman" w:hAnsi="Times New Roman"/>
          <w:sz w:val="18"/>
          <w:szCs w:val="18"/>
          <w:color w:val="auto"/>
        </w:rPr>
      </w:pPr>
    </w:p>
    <w:p>
      <w:pPr>
        <w:jc w:val="both"/>
        <w:ind w:left="900" w:hanging="44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6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described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we issue to BurTech, officers, directors, initial stockholders or their affiliates in payment of working capital loans made to the Company, will be identical to the warrants underlying the units offered in the initial public offering, except they will not be transferable, assignable or saleable until 30 days after the consummation of the Merger.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paid-in-capital. The compensation expense recognized during the three and six months ended June 30, 2025 was approximately $42 thousand and $54 thousand, respectively.</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to fair value the common stock warrants issued in February 2025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7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74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374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3.34</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condensed consolidated statements of operations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60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2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June 30, 2025, the Company’s operating leases had a weighted average remaining lease term of 3.0 years and a weighted average discount rate related to the Company’s right-of-use (“ROU”) assets and lease liabilities of 10.0%. As of December 31, 2024, the Company’s operating leases had a weighted average remaining lease term of 3.2 years and a weighted average discount rate related to the Company’s right-of-use assets and lease liabilities of 9.9%.</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9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9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81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as follows: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80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(Amounts in thousands)</w:t>
            </w: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0"/>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94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09"/>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 non-current</w:t>
            </w:r>
          </w:p>
        </w:tc>
        <w:tc>
          <w:tcPr>
            <w:tcW w:w="94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Stock Prior to the Merger</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the redeemable convertible preferred stock that was outstanding at the time of the Merger was converted into shares of common stock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there were 600,000,000 and 136,562,809 shares of common stock authorized, respectively, and 98,881,933 and 48,376,052 shares issued and outstanding, respectively.</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color w:val="auto"/>
        </w:rPr>
        <w:t>Shares of common stock reserved for issuance are as follows:</w:t>
      </w: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1620" w:type="dxa"/>
            <w:vAlign w:val="bottom"/>
          </w:tcPr>
          <w:p>
            <w:pPr>
              <w:jc w:val="right"/>
              <w:ind w:right="294"/>
              <w:spacing w:after="0" w:line="151" w:lineRule="exact"/>
              <w:rPr>
                <w:sz w:val="20"/>
                <w:szCs w:val="20"/>
                <w:color w:val="auto"/>
              </w:rPr>
            </w:pPr>
            <w:r>
              <w:rPr>
                <w:rFonts w:ascii="Times New Roman" w:cs="Times New Roman" w:eastAsia="Times New Roman" w:hAnsi="Times New Roman"/>
                <w:sz w:val="14"/>
                <w:szCs w:val="14"/>
                <w:b w:val="1"/>
                <w:bCs w:val="1"/>
                <w:color w:val="auto"/>
              </w:rPr>
              <w:t>As of June 30,</w:t>
            </w:r>
          </w:p>
        </w:tc>
        <w:tc>
          <w:tcPr>
            <w:tcW w:w="220" w:type="dxa"/>
            <w:vAlign w:val="bottom"/>
          </w:tcPr>
          <w:p>
            <w:pPr>
              <w:spacing w:after="0"/>
              <w:rPr>
                <w:sz w:val="13"/>
                <w:szCs w:val="13"/>
                <w:color w:val="auto"/>
              </w:rPr>
            </w:pPr>
          </w:p>
        </w:tc>
        <w:tc>
          <w:tcPr>
            <w:tcW w:w="172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Public warrants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Private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stock warrants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Earnout shares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Unissued shares of common stock</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769,231</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Incentive stock options and restricted stock units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39,959,756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31,991,752</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Equity awards available for future issuance</w:t>
            </w:r>
            <w:r>
              <w:rPr>
                <w:rFonts w:ascii="Times New Roman" w:cs="Times New Roman" w:eastAsia="Times New Roman" w:hAnsi="Times New Roman"/>
                <w:sz w:val="24"/>
                <w:szCs w:val="24"/>
                <w:color w:val="auto"/>
                <w:vertAlign w:val="superscript"/>
              </w:rPr>
              <w:t>(2)</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25,199,024</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1,736,686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113,226,261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33,728,438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-156845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-10795</wp:posOffset>
            </wp:positionV>
            <wp:extent cx="21945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460" w:hanging="452"/>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769,231 shares of common stock due to an advisor to satisfy an outstanding liability, which will be issued from outside the 2025 Equity Incentive Plan</w:t>
      </w:r>
    </w:p>
    <w:p>
      <w:pPr>
        <w:spacing w:after="0" w:line="2" w:lineRule="exact"/>
        <w:rPr>
          <w:rFonts w:ascii="Times New Roman" w:cs="Times New Roman" w:eastAsia="Times New Roman" w:hAnsi="Times New Roman"/>
          <w:sz w:val="14"/>
          <w:szCs w:val="14"/>
          <w:color w:val="auto"/>
        </w:rPr>
      </w:pPr>
    </w:p>
    <w:p>
      <w:pPr>
        <w:ind w:left="460" w:hanging="452"/>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16,000 shares of common stock due to an advisor to satisfy an outstanding liability, which will be issued from the 2025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-200025</wp:posOffset>
            </wp:positionV>
            <wp:extent cx="21945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periods prior to the Merger, the reported share and per share amounts have been retroactively converted by applying the exchange ratio.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640" w:type="dxa"/>
            <w:vAlign w:val="bottom"/>
          </w:tcPr>
          <w:p>
            <w:pPr>
              <w:spacing w:after="0"/>
              <w:rPr>
                <w:sz w:val="13"/>
                <w:szCs w:val="13"/>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6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3,196</w:t>
            </w:r>
          </w:p>
        </w:tc>
        <w:tc>
          <w:tcPr>
            <w:tcW w:w="106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4,370</w:t>
            </w:r>
          </w:p>
        </w:tc>
        <w:tc>
          <w:tcPr>
            <w:tcW w:w="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7,566</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January 2025, the Company’s board of directors approved, and the Company adopted the 2025 Incentive Award Plan (the “2025 Incentive Plan”), replacing the historical 2011 Amended Stock Plan. The 2025 Incentive Plan became effective on January 13, 2025. The 2025 Incentive Plan provides for the grant of stock options (both incentive stock options and non-qualified stock options), stock appreciation rights, restricted stock, RSUs and other stock or cash-based awards to employees and consultants of the Company and its subsidiaries and members of the board of directors of the Company. During the three months ended June 30, 2025, the Company authorized an increase of 5,102,758 shares available for issuance under the 2025 Incentive Plan, bringing the total authorized shares available under the 2025 Incentive Plan to approximately 30.5 million.</w:t>
      </w:r>
    </w:p>
    <w:p>
      <w:pPr>
        <w:spacing w:after="0" w:line="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Under the 2025 Incentive Plan, stock options, including incentive stock options (“ISOs”), may be granted to employees at exercise prices not lower than the fair value of the stock as of the date of grant. For ISOs granted to a person whom, at the time of the grant, owns stock representing more than 10% of the total combined voting power of all classes of our stock, the per share exercise price must be no less than 110% of the fair value on the date of the grant as determined by the Board.</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 Company commenced the granting of equity awards under the 2025 Incentive Plan. As of June 30, 2025, approximately 22.1 million shares of common stock were reserved for issuance under the plan.</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Following the effectiveness of the 2025 Incentive Plan, the Company ceased making grants under the 2011 Equity Incentive Plan (the “2011 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w:t>
      </w:r>
    </w:p>
    <w:p>
      <w:pPr>
        <w:spacing w:after="0" w:line="7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Under the 2011 Amended Plan, we issued RSUs, which vested upon the satisfaction of both the service-based condition and a liquidity event condition. The liquidity event condition for the RSUs was satisfied upon the occurrence of a qualifying event, defined specifically in the equity documents, and generally refer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tbl>
      <w:tblPr>
        <w:tblLayout w:type="fixed"/>
        <w:tblInd w:w="0" w:type="dxa"/>
        <w:tblCellMar>
          <w:top w:w="0" w:type="dxa"/>
          <w:left w:w="0" w:type="dxa"/>
          <w:bottom w:w="0" w:type="dxa"/>
          <w:right w:w="0" w:type="dxa"/>
        </w:tblCellMar>
      </w:tblPr>
      <w:tr>
        <w:trPr>
          <w:trHeight w:val="15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ind w:left="168"/>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9.2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(348,653)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28,011,982</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8.7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June 30, 2025</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28,011,982</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8.7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56,444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June 30, 2025</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9,438,159</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2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7.9</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20,139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-350520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-334010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-350520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-334010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$16.2 million of total unrecognized compensation cost related to unvested stock options, which is expected to be recognized over a weighted average period of 2.1 years.</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There were no stock options granted during the six months ended June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Company’s RSU activity is as follows:</w:t>
      </w: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(31,318)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11,947,774</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the RSUs had both a service-based condition and a liquidity event condition. The liquidity event condition was only satisfied on the consummation of a liquidity event, such as an IPO, which was not determinable or probable as of December 31, 2024. Effective with the consummation of the Merger, we recognized $3.9 million in stock-based compensation expense associated with the vesting of the outstanding RSUs (see Note 3).</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2,853,562 shares of common stock that are subject to the release of the vested RSU have not been issued to the holders but have been included in the weighted average shares outstanding calculation for purposes of earning per share (see Note 17).</w:t>
      </w:r>
    </w:p>
    <w:p>
      <w:pPr>
        <w:spacing w:after="0" w:line="54"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$22.2 million of total unrecognized compensation cost related to unvested RSUs, which is expected to be recognized over a weighted average period of 3.0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January 2025, the Company’s board of directors adopted the 2025 Employee Stock Purchase Plan (the “2025 ESPP”) that became effective upon the date of the de-SPAC in order to enable eligible employees to purchase shares of common stock with accumulated payroll deductions. The 2025 ESPP is intended to qualify under Section 423 of the Internal Revenue Code, as amended. Under the 2025 ESPP, eligible employees are offered the option to purchase share of common stock at a discount over a series of offering periods. Each offering period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approximately 3.0 million shares of common stock were reserved for issuance pursuant to the 2025 ESPP. As of June 30, 2025, no offers have been made to purchase shares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outstanding purchase orders and contractual obligations totaling approximately $2.0 million to procure inventory. The Company's outstanding inventory purchase orders and preauthorized commitments to procure strategic components based on expected demand are placed with a server supplier, its primary third-party contract manufacturer and a semiconductor supplier.</w:t>
      </w:r>
    </w:p>
    <w:p>
      <w:pPr>
        <w:spacing w:after="0" w:line="68"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Company has an obligation to purchase inventories that have been purchased by the contract manufacturer when components have not been consumed within a period defined in the terms of our agreement. The Company purchased inventories due to this obligation as follows:</w:t>
      </w:r>
    </w:p>
    <w:tbl>
      <w:tblPr>
        <w:tblLayout w:type="fixed"/>
        <w:tblInd w:w="0" w:type="dxa"/>
        <w:tblCellMar>
          <w:top w:w="0" w:type="dxa"/>
          <w:left w:w="0" w:type="dxa"/>
          <w:bottom w:w="0" w:type="dxa"/>
          <w:right w:w="0" w:type="dxa"/>
        </w:tblCellMar>
      </w:tblPr>
      <w:tr>
        <w:trPr>
          <w:trHeight w:val="156"/>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20" w:type="dxa"/>
            <w:vAlign w:val="bottom"/>
          </w:tcPr>
          <w:p>
            <w:pPr>
              <w:spacing w:after="0"/>
              <w:rPr>
                <w:sz w:val="13"/>
                <w:szCs w:val="13"/>
                <w:color w:val="auto"/>
              </w:rPr>
            </w:pPr>
          </w:p>
        </w:tc>
        <w:tc>
          <w:tcPr>
            <w:tcW w:w="2820" w:type="dxa"/>
            <w:vAlign w:val="bottom"/>
            <w:gridSpan w:val="4"/>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gridSpan w:val="5"/>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purchases related to purchase obligations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As of June 30, 2025 and December 31, 2024, the liability balance of our accrued losses on purchase commitments equaled $0.6 million on the condensed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w:t>
      </w:r>
    </w:p>
    <w:p>
      <w:pPr>
        <w:spacing w:after="0" w:line="54"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$4,500,000 contingent upon the closing of the Merger and for reimbursement of expenses up to $500,000.</w:t>
      </w:r>
    </w:p>
    <w:p>
      <w:pPr>
        <w:spacing w:after="0" w:line="68"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Merger, with the option for the Company to defer up to $1,000,000 of this fee for up to 12 months post-closing, and $500,000 in reimbursable expenses. Jefferies alleges that as of June 30,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 Although the outcome of this matter cannot be predicted with certainty, based on the existing facts and circumstances the Company has recorded estimated liabilities of $4,950,000 on the condensed consolidated balance sheets as of June 30, 2025, of which $3,950,000 is included in accounts payable and $1,000,000 is included in accrued expenses and other current liabilities. These estimated liabilities reflect management's assessment of the Company's potential exposure from the Jefferies Engagement Letter based on its contracted fees. The resolution of this matter could differ materially from the amount currently recorded. The Company continues to evaluate the matter as it progresses and will adjust the estimated liabilities if and when additional information becomes available that indicates a different outcome is probable and reasonably estimable.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 Agreements</w:t>
      </w:r>
    </w:p>
    <w:p>
      <w:pPr>
        <w:spacing w:after="0" w:line="121" w:lineRule="exact"/>
        <w:rPr>
          <w:sz w:val="20"/>
          <w:szCs w:val="20"/>
          <w:color w:val="auto"/>
        </w:rPr>
      </w:pPr>
    </w:p>
    <w:p>
      <w:pPr>
        <w:jc w:val="both"/>
        <w:ind w:right="240" w:firstLine="449"/>
        <w:spacing w:after="0" w:line="261"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Company's Board of Directors, is in the form of restricted stock units following the filing of a registration statement subsequent to the Merger consummation to register such shares, and subject to the advisors continued service on the applicable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9" w:name="page30"/>
    <w:bookmarkEnd w:id="29"/>
    <w:p>
      <w:pPr>
        <w:jc w:val="both"/>
        <w:ind w:right="220" w:firstLine="449"/>
        <w:spacing w:after="0" w:line="253" w:lineRule="auto"/>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 which payment was due upon the close of the Merger (see Note 3). Under the terms of the agreement, at the Company's discretion, the advisory fee of $0.8 million is to be paid in the form of (i) cash and (ii) cash or a combination of cash and shares of common stock of common stock at a price of $10.00 per share at various dates in 2025. The finder’s fee, equal to a specified percentage of the trust value of our shares held by investors introduced by the advisor, is to be paid fifty percent in cash and fifty percent in shares of common stock at a price of $10.00 per share, concurrent with the close of the Merger. The Company 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$10.00 per share (subject to a $1.00 per share floor), within two days we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w:t>
      </w:r>
    </w:p>
    <w:p>
      <w:pPr>
        <w:spacing w:after="0" w:line="8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April 2024, the Company entered into an advisory agreement for future services. The terms of the agreement require a non-refundable advisory fee of $2.0 million paid upon execution of the contract in the form of 769,231 shares of common stock (the “Fee Shares”). The Fee Shares are subject to a one-year lock up provision (the “Lock-Up Period”) which expires the earlier of one year from the date of the agreement or the date of a change of control as defined in the agreement. Prior to the expiration of the lock-up period, the advisor may sell the common stock shares back to us or an affiliate as defined in Rule 405 under the Securities Act. The Fee Shares subject to the lock-up provision are subject to adjustment if the dollar volume-weighted average price for the Company's common stock (“VWAP”) 20 out of any 30 trading Days is at least $7.00 per share, then the Lock-Up Period shall be terminated with respect to fifty percent of the shares to be issued for the fee. Furthermore, if the VWAP of the common stock for 20 out of any 30 Trading Days is at least $10.00 per share, then the Lock-Up Period shall be terminated with respect to the other fifty percent of the Fee Shares, rounded up.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 and Balances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Partner Referral Agreement</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June 30, 2025, we entered into a Sales Partner Referral Agreement (the “Referral Agreement”) with Burkhan LLC (the “Sales Partner”), an affiliate of Burkhan. Pursuant to the Referral Agreement, the Sales Partner will, on a non-exclusive basis, promote certain of our products and refer potential customers to us. The Company may approve or reject any customer opportunity presented by the Sales Partner in its sole discretion. For any approved customer opportunity, the Sales Partner and Blaize will negotiate in good faith on the commissions payable to the Sales Partner. 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7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Burkhan. Under the agreement, BST will purchase up to approximately $56.5 million of the Company's products on behalf of an unaffiliated end user, beginning in the second quarter of 2025 through 2026. BST will receive a financing fee of 2.5% of the total purchase price from the end user and the Sales Partner will receive a commission, payable by Blaize, of up to 10%, depending on our gross margins under the purchase order, payable in cash or partially, at our discretion, in shares of the Company's common stock.</w:t>
      </w:r>
    </w:p>
    <w:p>
      <w:pPr>
        <w:spacing w:after="0" w:line="7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pursuant to the Referral Agreement, the Company recognized $1.6 million in revenue from sales to an affiliate of Burkhan, inclusive of a $0.2 million sales commission to Burkhan which was reported as a reduction of revenue, and as accrued expense as of June 30, 2025. During the three and six months ended June 30, 2024, the Company recognized revenue of approximately $0.2 million and $0.8 million, respectively, approximately 99% of total revenue in the periods, from sales to two minority stockholders.</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there was $1.8 million in accounts receivable that was due from an affiliate of Burkhan, while as of December 31, 2024 there was no amounts due from this customer. As of June 30, 2025 and December 31, 2024, there were no accounts receivable due from the two minority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 w:name="page31"/>
    <w:bookmarkEnd w:id="30"/>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In 2023, we issued a convertible note in the amount of $5.0 million or 41% of the total 2023 Convertible Note proceeds raised in 2023 to a related party investor holding more than a 10% ownership our outstanding stock. This related party investor also has a representative serving on our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9). The 2023 Convertible Note and 2023 Convertible Note Warrants held by this investor were subject to the adjustments in fair value. </w:t>
      </w:r>
      <w:r>
        <w:rPr>
          <w:rFonts w:ascii="Times New Roman" w:cs="Times New Roman" w:eastAsia="Times New Roman" w:hAnsi="Times New Roman"/>
          <w:sz w:val="18"/>
          <w:szCs w:val="18"/>
          <w:color w:val="242424"/>
        </w:rPr>
        <w:t>As of December 31, 2024,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and six months ended June 30, 2025, the change </w:t>
      </w:r>
      <w:r>
        <w:rPr>
          <w:rFonts w:ascii="Times New Roman" w:cs="Times New Roman" w:eastAsia="Times New Roman" w:hAnsi="Times New Roman"/>
          <w:sz w:val="18"/>
          <w:szCs w:val="18"/>
          <w:color w:val="000000"/>
        </w:rPr>
        <w:t>in fair value for the respective</w:t>
      </w:r>
      <w:r>
        <w:rPr>
          <w:rFonts w:ascii="Times New Roman" w:cs="Times New Roman" w:eastAsia="Times New Roman" w:hAnsi="Times New Roman"/>
          <w:sz w:val="18"/>
          <w:szCs w:val="18"/>
          <w:color w:val="242424"/>
        </w:rPr>
        <w:t xml:space="preserve"> 2023 Convertible Note was </w:t>
      </w:r>
      <w:r>
        <w:rPr>
          <w:rFonts w:ascii="Times New Roman" w:cs="Times New Roman" w:eastAsia="Times New Roman" w:hAnsi="Times New Roman"/>
          <w:sz w:val="18"/>
          <w:szCs w:val="18"/>
          <w:color w:val="000000"/>
        </w:rPr>
        <w:t>zero and $6.0 million, respectively</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(see Note 5). </w:t>
      </w:r>
      <w:r>
        <w:rPr>
          <w:rFonts w:ascii="Times New Roman" w:cs="Times New Roman" w:eastAsia="Times New Roman" w:hAnsi="Times New Roman"/>
          <w:sz w:val="18"/>
          <w:szCs w:val="18"/>
          <w:color w:val="242424"/>
        </w:rPr>
        <w:t>During the three and six months ended June 30, 2024, the changes</w:t>
      </w:r>
      <w:r>
        <w:rPr>
          <w:rFonts w:ascii="Times New Roman" w:cs="Times New Roman" w:eastAsia="Times New Roman" w:hAnsi="Times New Roman"/>
          <w:sz w:val="18"/>
          <w:szCs w:val="18"/>
          <w:color w:val="000000"/>
        </w:rPr>
        <w:t xml:space="preserve"> in fair value for the respective </w:t>
      </w:r>
      <w:r>
        <w:rPr>
          <w:rFonts w:ascii="Times New Roman" w:cs="Times New Roman" w:eastAsia="Times New Roman" w:hAnsi="Times New Roman"/>
          <w:sz w:val="18"/>
          <w:szCs w:val="18"/>
          <w:color w:val="242424"/>
        </w:rPr>
        <w:t>2023 Convertible Note and 2023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 xml:space="preserve">Convertible Note Warrants </w:t>
      </w:r>
      <w:r>
        <w:rPr>
          <w:rFonts w:ascii="Times New Roman" w:cs="Times New Roman" w:eastAsia="Times New Roman" w:hAnsi="Times New Roman"/>
          <w:sz w:val="18"/>
          <w:szCs w:val="18"/>
          <w:color w:val="000000"/>
        </w:rPr>
        <w:t>equaled $(0.6) million and $0.3 million, respectively, and $(0.3) million and $(0.3) million, respectively (see Note 5).</w:t>
      </w:r>
    </w:p>
    <w:p>
      <w:pPr>
        <w:spacing w:after="0" w:line="8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January 2023, one of the minority investors with which we had a prior revenue arrangement, representing zero and approximately 43% of total revenues for the three and six months ended June 30, 2024, also invested in a P2P Note in the amount of $3.3 million, or 35% of the total P2P proceeds raised in 2023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w:t>
      </w:r>
      <w:r>
        <w:rPr>
          <w:rFonts w:ascii="Times New Roman" w:cs="Times New Roman" w:eastAsia="Times New Roman" w:hAnsi="Times New Roman"/>
          <w:sz w:val="18"/>
          <w:szCs w:val="18"/>
          <w:color w:val="242424"/>
        </w:rPr>
        <w:t>his related party’s respective P2P Note and P2P Warrants were converted into common stock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Merger (see Note 3). </w:t>
      </w:r>
      <w:r>
        <w:rPr>
          <w:rFonts w:ascii="Times New Roman" w:cs="Times New Roman" w:eastAsia="Times New Roman" w:hAnsi="Times New Roman"/>
          <w:sz w:val="18"/>
          <w:szCs w:val="18"/>
          <w:color w:val="000000"/>
        </w:rPr>
        <w:t>During the three and six months ended June 30, 2025, the change in fair value for the respective P2P Note was zero and $7.2 million,</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respectively (see Note 5). During the three and six months ended June 30, 2024, the change in fair value for the respective P2P Note and P2P Warrants was $0.4 million and $0.4 million, respectively, and $(20) thousand and $(12) thousand, respectively (see Note 5).</w:t>
      </w:r>
    </w:p>
    <w:p>
      <w:pPr>
        <w:spacing w:after="0" w:line="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2022, one of the minority stockholders with which we had a prior revenue arrangement, representing approximately 99% and 56% of total revenues for the three and six months ended June 30, 2024, respectively, and 98% of accounts receivable as of December 31, 2024, also invested in a P2P Note in the amount of $0.4 million, or 13% of the total P2P proceeds raised in 2022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w:t>
      </w:r>
      <w:r>
        <w:rPr>
          <w:rFonts w:ascii="Times New Roman" w:cs="Times New Roman" w:eastAsia="Times New Roman" w:hAnsi="Times New Roman"/>
          <w:sz w:val="18"/>
          <w:szCs w:val="18"/>
          <w:color w:val="242424"/>
        </w:rPr>
        <w:t>2022 P2P Note and P2P Warrants were converted into common stock in connection with the Merger (see Note 3). During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three and six months ended June 30, 2025</w:t>
      </w:r>
      <w:r>
        <w:rPr>
          <w:rFonts w:ascii="Times New Roman" w:cs="Times New Roman" w:eastAsia="Times New Roman" w:hAnsi="Times New Roman"/>
          <w:sz w:val="18"/>
          <w:szCs w:val="18"/>
          <w:color w:val="000000"/>
        </w:rPr>
        <w:t>, the changes in fair value for this set of P2P Notes were zero and $0.8 million, respectively (see Note 5). During</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the three and six months ended June 30, 2024, the changes in fair value for this set of P2P Note and P2P Note Warrants were immaterial (see Note 5).</w:t>
      </w:r>
    </w:p>
    <w:p>
      <w:pPr>
        <w:spacing w:after="0" w:line="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Merger, BurTech LP, previously the Sponsor of BurTech, issued a secured promissory note and pledge agreement to BurTech in the principal amount of approximately $8.8 million, bearing an interest rate of 7% with annual compounding, compounded on December 31 each year. Pursuant to this promissory note, BurTech LP agreed to pay certain of the transaction expenses (as defined in the Merger Agreement) of BurTech. As consideration for this promissory note, the Company issued 750,000 shares of common stock to BurTech LP. BurTech LP is obligated to pay the related transaction expenses set forth in the note within ninety days after the date that the shares have been registered for resale under the Securities Act. As of June 30, 2025, payment on the note had not yet been received.</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incurred zero and $0.2 million, respectively, of marketing expenses paid to a company owned by a direct family member of one of our minority stockholders and board of directors. During the three and six months ended June 30, 2024, the Company incurred no such marketing expenses.</w:t>
      </w:r>
    </w:p>
    <w:p>
      <w:pPr>
        <w:spacing w:after="0" w:line="68" w:lineRule="exact"/>
        <w:rPr>
          <w:sz w:val="20"/>
          <w:szCs w:val="20"/>
          <w:color w:val="auto"/>
        </w:rPr>
      </w:pPr>
    </w:p>
    <w:p>
      <w:pPr>
        <w:ind w:right="1540" w:firstLine="449"/>
        <w:spacing w:after="0" w:line="375" w:lineRule="auto"/>
        <w:rPr>
          <w:sz w:val="20"/>
          <w:szCs w:val="20"/>
          <w:color w:val="auto"/>
        </w:rPr>
      </w:pPr>
      <w:r>
        <w:rPr>
          <w:rFonts w:ascii="Times New Roman" w:cs="Times New Roman" w:eastAsia="Times New Roman" w:hAnsi="Times New Roman"/>
          <w:sz w:val="18"/>
          <w:szCs w:val="18"/>
          <w:color w:val="auto"/>
        </w:rPr>
        <w:t xml:space="preserve">As of June 30, 2025, the Company has amounts due for a Working Capital Loan and advances from a related party (see Note 8). </w:t>
      </w:r>
      <w:r>
        <w:rPr>
          <w:rFonts w:ascii="Times New Roman" w:cs="Times New Roman" w:eastAsia="Times New Roman" w:hAnsi="Times New Roman"/>
          <w:sz w:val="18"/>
          <w:szCs w:val="18"/>
          <w:b w:val="1"/>
          <w:bCs w:val="1"/>
          <w:color w:val="auto"/>
        </w:rPr>
        <w:t>Note 16. Segment Reporting</w:t>
      </w:r>
    </w:p>
    <w:p>
      <w:pPr>
        <w:spacing w:after="0" w:line="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reportable segment, and manages the business and evaluates financial performance on a consolidated basis. The CODM regularly receives and reviews consolidated financial results focusing primarily on revenue, key costs and expenses, net loss, and earnings before interest, tax, depreciation and amortization (“EBITDA”) adjusted for irregular items (“Adjusted EBITDA”), to make decisions regarding the allocation of resources and assessment of performance. The Company defines Adjusted EBITDA as net loss before interest, taxes, depreciation and amortization, certain non-cash items and other adjustments that we do not consider in our evaluation of ongoing operating performance from period to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color w:val="auto"/>
        </w:rPr>
        <w:t>Net loss is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9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(1,131)</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Employee costs</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(15,242)</w:t>
            </w:r>
          </w:p>
        </w:tc>
        <w:tc>
          <w:tcPr>
            <w:tcW w:w="9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(8,172)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(34,323)</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(13,872)</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costs</w:t>
            </w:r>
          </w:p>
        </w:tc>
        <w:tc>
          <w:tcPr>
            <w:tcW w:w="8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(1,276)</w:t>
            </w:r>
          </w:p>
        </w:tc>
        <w:tc>
          <w:tcPr>
            <w:tcW w:w="9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(3,693)</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9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income/(expense), net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(7,557)</w:t>
            </w:r>
          </w:p>
        </w:tc>
        <w:tc>
          <w:tcPr>
            <w:tcW w:w="9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(117,087)</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(9,642)</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8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(6,550)</w:t>
            </w:r>
          </w:p>
        </w:tc>
        <w:tc>
          <w:tcPr>
            <w:tcW w:w="9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(24,171)</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top w:val="single" w:sz="8" w:color="auto"/>
            </w:tcBorders>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(29,589)</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(12,153)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(177,350)</w:t>
            </w:r>
          </w:p>
        </w:tc>
        <w:tc>
          <w:tcPr>
            <w:tcW w:w="2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460" w:hanging="452"/>
        <w:spacing w:after="0" w:line="261" w:lineRule="auto"/>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includes marketing expense, professional fees, income tax expense, facilities costs, foreign currency exchange gains and losses, credit loss expense, and other overhead expenses</w:t>
      </w:r>
    </w:p>
    <w:p>
      <w:pPr>
        <w:spacing w:after="0" w:line="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reflects our EBITDA and Adjusted EBITDA: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80" w:type="dxa"/>
            <w:vAlign w:val="bottom"/>
          </w:tcPr>
          <w:p>
            <w:pPr>
              <w:spacing w:after="0"/>
              <w:rPr>
                <w:sz w:val="13"/>
                <w:szCs w:val="13"/>
                <w:color w:val="auto"/>
              </w:rPr>
            </w:pPr>
          </w:p>
        </w:tc>
        <w:tc>
          <w:tcPr>
            <w:tcW w:w="2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(29,589)</w:t>
            </w:r>
          </w:p>
        </w:tc>
        <w:tc>
          <w:tcPr>
            <w:tcW w:w="96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(12,153)</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(177,350)</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(28,896)</w:t>
            </w: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expense/(income), net</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(29,408)</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(12,471)</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(177,215)</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(28,570)</w:t>
            </w: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117,087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FF0FC"/>
            </w:tcBorders>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4"/>
                <w:szCs w:val="24"/>
                <w:color w:val="auto"/>
                <w:vertAlign w:val="superscript"/>
              </w:rPr>
              <w:t>(1)</w:t>
            </w:r>
          </w:p>
        </w:tc>
        <w:tc>
          <w:tcPr>
            <w:tcW w:w="4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(12,933)</w:t>
            </w:r>
          </w:p>
        </w:tc>
        <w:tc>
          <w:tcPr>
            <w:tcW w:w="96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(10,560)</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(28,313)</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-156845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-156845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-156845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-10795</wp:posOffset>
            </wp:positionV>
            <wp:extent cx="41490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jc w:val="both"/>
        <w:ind w:left="460" w:hanging="452"/>
        <w:spacing w:after="0" w:line="241" w:lineRule="auto"/>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includes, but is not limited to, legal, accounting and consulting fees incurred in connection with the Merger and the impact of other items management does not believe relate to the core operations of the business (foreign exchange gains and losses, litigation expense, etc.). Management believes these costs are not reflective of our ongoing operating performance and that excluding these costs provides a more meaningful comparison of our performance over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-301625</wp:posOffset>
            </wp:positionV>
            <wp:extent cx="41490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pacing w:after="0" w:line="52"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Long-lived and ROU assets were located as follows:</w:t>
      </w:r>
    </w:p>
    <w:tbl>
      <w:tblPr>
        <w:tblLayout w:type="fixed"/>
        <w:tblInd w:w="0" w:type="dxa"/>
        <w:tblCellMar>
          <w:top w:w="0" w:type="dxa"/>
          <w:left w:w="0" w:type="dxa"/>
          <w:bottom w:w="0" w:type="dxa"/>
          <w:right w:w="0" w:type="dxa"/>
        </w:tblCellMar>
      </w:tblPr>
      <w:tr>
        <w:trPr>
          <w:trHeight w:val="156"/>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5"/>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As of June 30, 2025</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8"/>
          </w:tcPr>
          <w:p>
            <w:pPr>
              <w:jc w:val="right"/>
              <w:ind w:right="960"/>
              <w:spacing w:after="0" w:line="155" w:lineRule="exact"/>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1440" w:type="dxa"/>
            <w:vAlign w:val="bottom"/>
            <w:tcBorders>
              <w:top w:val="single" w:sz="8" w:color="auto"/>
              <w:bottom w:val="single" w:sz="8" w:color="auto"/>
            </w:tcBorders>
            <w:gridSpan w:val="3"/>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Fixed Assets</w:t>
            </w:r>
          </w:p>
        </w:tc>
        <w:tc>
          <w:tcPr>
            <w:tcW w:w="220" w:type="dxa"/>
            <w:vAlign w:val="bottom"/>
            <w:tcBorders>
              <w:top w:val="single" w:sz="8" w:color="auto"/>
            </w:tcBorders>
            <w:gridSpan w:val="2"/>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44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4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0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17. Net Loss Per Share</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920" w:type="dxa"/>
            <w:vAlign w:val="bottom"/>
            <w:gridSpan w:val="8"/>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amounts)</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(29,589)</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(12,153)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(177,350)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(28,896)</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58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Weighted average number of shares outstanding, basic and</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580" w:type="dxa"/>
            <w:vAlign w:val="bottom"/>
          </w:tcPr>
          <w:p>
            <w:pPr>
              <w:ind w:left="60"/>
              <w:spacing w:after="0" w:line="241"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104,588,373</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13,623,106</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98,374,632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13,618,188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-1631315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-1631315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-1631315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-1631315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460" w:hanging="452"/>
        <w:spacing w:after="0"/>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2,853,562 vested but unissued shares underlying awards of restricted common stock and 785,231 shares that the Company is contractually obligated to issue.</w:t>
      </w:r>
    </w:p>
    <w:p>
      <w:pPr>
        <w:spacing w:after="0" w:line="9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jc w:val="both"/>
        <w:ind w:right="20" w:firstLine="449"/>
        <w:spacing w:after="0" w:line="257"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w:t>
      </w:r>
    </w:p>
    <w:tbl>
      <w:tblPr>
        <w:tblLayout w:type="fixed"/>
        <w:tblInd w:w="0" w:type="dxa"/>
        <w:tblCellMar>
          <w:top w:w="0" w:type="dxa"/>
          <w:left w:w="0" w:type="dxa"/>
          <w:bottom w:w="0" w:type="dxa"/>
          <w:right w:w="0" w:type="dxa"/>
        </w:tblCellMar>
      </w:tblPr>
      <w:tr>
        <w:trPr>
          <w:trHeight w:val="156"/>
        </w:trPr>
        <w:tc>
          <w:tcPr>
            <w:tcW w:w="4200" w:type="dxa"/>
            <w:vAlign w:val="bottom"/>
          </w:tcPr>
          <w:p>
            <w:pPr>
              <w:spacing w:after="0"/>
              <w:rPr>
                <w:sz w:val="13"/>
                <w:szCs w:val="13"/>
                <w:color w:val="auto"/>
              </w:rPr>
            </w:pPr>
          </w:p>
        </w:tc>
        <w:tc>
          <w:tcPr>
            <w:tcW w:w="3320" w:type="dxa"/>
            <w:vAlign w:val="bottom"/>
            <w:gridSpan w:val="3"/>
          </w:tcPr>
          <w:p>
            <w:pPr>
              <w:jc w:val="right"/>
              <w:ind w:right="655"/>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3"/>
                <w:szCs w:val="13"/>
                <w:color w:val="auto"/>
              </w:rPr>
            </w:pPr>
          </w:p>
        </w:tc>
        <w:tc>
          <w:tcPr>
            <w:tcW w:w="3460" w:type="dxa"/>
            <w:vAlign w:val="bottom"/>
            <w:gridSpan w:val="4"/>
          </w:tcPr>
          <w:p>
            <w:pPr>
              <w:ind w:left="820"/>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200" w:type="dxa"/>
            <w:vAlign w:val="bottom"/>
          </w:tcPr>
          <w:p>
            <w:pPr>
              <w:spacing w:after="0"/>
              <w:rPr>
                <w:sz w:val="12"/>
                <w:szCs w:val="12"/>
                <w:color w:val="auto"/>
              </w:rPr>
            </w:pPr>
          </w:p>
        </w:tc>
        <w:tc>
          <w:tcPr>
            <w:tcW w:w="154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54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34,702,999</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34,702,999</w:t>
            </w:r>
          </w:p>
        </w:tc>
        <w:tc>
          <w:tcPr>
            <w:tcW w:w="120" w:type="dxa"/>
            <w:vAlign w:val="bottom"/>
            <w:shd w:val="clear" w:color="auto" w:fill="CFF0FC"/>
          </w:tcPr>
          <w:p>
            <w:pPr>
              <w:spacing w:after="0"/>
              <w:rPr>
                <w:sz w:val="18"/>
                <w:szCs w:val="18"/>
                <w:color w:val="auto"/>
              </w:rPr>
            </w:pPr>
          </w:p>
        </w:tc>
      </w:tr>
      <w:tr>
        <w:trPr>
          <w:trHeight w:val="216"/>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28,011,982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12,756,927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28,011,982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12,756,927</w:t>
            </w:r>
          </w:p>
        </w:tc>
        <w:tc>
          <w:tcPr>
            <w:tcW w:w="120" w:type="dxa"/>
            <w:vAlign w:val="bottom"/>
          </w:tcPr>
          <w:p>
            <w:pPr>
              <w:spacing w:after="0"/>
              <w:rPr>
                <w:sz w:val="18"/>
                <w:szCs w:val="18"/>
                <w:color w:val="auto"/>
              </w:rPr>
            </w:pPr>
          </w:p>
        </w:tc>
      </w:tr>
      <w:tr>
        <w:trPr>
          <w:trHeight w:val="216"/>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9,124,212</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3,769,038</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9,124,212</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3,769,038</w:t>
            </w:r>
          </w:p>
        </w:tc>
        <w:tc>
          <w:tcPr>
            <w:tcW w:w="120" w:type="dxa"/>
            <w:vAlign w:val="bottom"/>
            <w:shd w:val="clear" w:color="auto" w:fill="CFF0FC"/>
          </w:tcPr>
          <w:p>
            <w:pPr>
              <w:spacing w:after="0"/>
              <w:rPr>
                <w:sz w:val="18"/>
                <w:szCs w:val="18"/>
                <w:color w:val="auto"/>
              </w:rPr>
            </w:pPr>
          </w:p>
        </w:tc>
      </w:tr>
      <w:tr>
        <w:trPr>
          <w:trHeight w:val="216"/>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Legacy Blaize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7,505,656</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7,505,656</w:t>
            </w:r>
          </w:p>
        </w:tc>
        <w:tc>
          <w:tcPr>
            <w:tcW w:w="120" w:type="dxa"/>
            <w:vAlign w:val="bottom"/>
          </w:tcPr>
          <w:p>
            <w:pPr>
              <w:spacing w:after="0"/>
              <w:rPr>
                <w:sz w:val="18"/>
                <w:szCs w:val="18"/>
                <w:color w:val="auto"/>
              </w:rPr>
            </w:pPr>
          </w:p>
        </w:tc>
      </w:tr>
      <w:tr>
        <w:trPr>
          <w:trHeight w:val="216"/>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Common stock warrants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6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Private warrants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66,834,444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58,734,620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66,834,444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58,734,620</w:t>
            </w:r>
          </w:p>
        </w:tc>
        <w:tc>
          <w:tcPr>
            <w:tcW w:w="12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-170815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Employee Benefit Plan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in the US meeting certain age and service requirements. The Company makes discretionary contributions to the 401(k) plan. The Company operates a defined contribution pension scheme in the UK for employees and makes employer contributions to this scheme on behalf of those employees. The Company recorded $0.2 million and $0.3 million in contributions during the three and six months ended June 30, 2025 and $0.3 million in contributions for both the three and six months ended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and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condensed consolidated statement of operations. The expected return on plan assets is based on the assumed rate of return of such assets. As of June 30, 2025 and December 31, 2024, the related liability is included within accrued compensation on the condensed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these condensed consolidated financial statements were available to be issued, and determined that the following subsequent events, other than those disclosed elsewhere in the condensed consolidated financial statements, are reportable: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Funds Held-in-Escrow</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July 10, 2025, the Company received the $0.5 million of funds previously held in escrow. As of the filing date of these condensed consolidated financial statements, the Company has nothing held in escrow.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July 14, 2025, the Company entered into a Common Stock Purchase Agreement (the “Purchase Agreement”) and a related Registration Rights Agreement (the “Registration Rights Agreement”) with B. Riley Principal Capital II, LLC (“B. Riley”). Upon the terms and subject to the satisfaction of the conditions set forth in the Purchase Agreement, the Company will have the right, in its sole discretion, to sell to B. Riley up to an aggregate of $50,000,000 of newly issued shares of the Company’s common stock, par value $0.0001 per share (the “Common Stock”), subject to certain conditions and limitations contained in the Purchase Agreement, from time to time during the term of the Purchase Agreement. Sales of shares of the Company's common stock to B. Riley under the Purchase Agreement, and the timing of any such sales, are solely at the Company’s option, and the Company is under no obligation to sell any securities to B. Riley under the Purchase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 with Starshine</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July 16, 2025, the Company entered into a Strategic Cooperation Agreement (the “Starshine Agreement”) with Starshine Computing Power Technology Limited, a Hong Kong company (“Starshine”). Pursuant to the terms of the Starshine Agreement, Blaize and Starshine are entering into a strategic partnership to develop business opportunities for the sale of Blaize’s hybrid AI platform and other products and services through Starshine in the Asia Pacific region. Starshine has agreed to deliver a minimum of $120 million in revenue to Blaize over the first 18 months of the Starshine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condensed consolidated financial statements and related notes thereto, included in Part 1. Item 1. of this Quarterly Report, risk factors, included in Part 2. Item 1A. of this Quarterly Report, and the information included in our Current Report on Form 8-K/A, as filed with the SEC on April 15,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Blaize is a provider of purpose-built, transformative artificial intelligence (AI)-enabled edge computing solutions that unite software and silicon to optimize AI from the edge to the core. 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Our mission is to enable enterprises to harness the power of AI at the edge, delivering real-time insights and decision- 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8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w:t>
      </w:r>
    </w:p>
    <w:p>
      <w:pPr>
        <w:spacing w:after="0" w:line="7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 with Starshine</w:t>
      </w:r>
    </w:p>
    <w:p>
      <w:pPr>
        <w:spacing w:after="0" w:line="121"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On July 16, 2025, we entered into a Strategic Cooperation Agreement (the “Starshine Agreement”) with Starshine Computing Power Technology Limited, a Hong Kong company (“Starshine”). Pursuant to the terms of the Starshine Agreement, Blaize and Starshine are entering into a strategic partnership to develop business opportunities for the sale of Blaize’s hybrid AI platform and other products and services through Starshine in the Asia Pacific region. Starshine has agreed to deliver a minimum of $120 million in revenue to Blaize over the first 18 months of the Starshine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121" w:lineRule="exact"/>
        <w:rPr>
          <w:sz w:val="20"/>
          <w:szCs w:val="20"/>
          <w:color w:val="auto"/>
        </w:rPr>
      </w:pPr>
    </w:p>
    <w:p>
      <w:pPr>
        <w:jc w:val="both"/>
        <w:ind w:firstLine="809"/>
        <w:spacing w:after="0" w:line="253" w:lineRule="auto"/>
        <w:rPr>
          <w:sz w:val="20"/>
          <w:szCs w:val="20"/>
          <w:color w:val="auto"/>
        </w:rPr>
      </w:pPr>
      <w:r>
        <w:rPr>
          <w:rFonts w:ascii="Times New Roman" w:cs="Times New Roman" w:eastAsia="Times New Roman" w:hAnsi="Times New Roman"/>
          <w:sz w:val="18"/>
          <w:szCs w:val="18"/>
          <w:color w:val="auto"/>
        </w:rPr>
        <w:t>On July 14, 2025, we entered into a Common Stock Purchase Agreement (the “Purchase Agreement”) and a related Registration Rights Agreement with B. Riley Principal Capital II, LLC (“B. Riley Principal Capital II”). Upon the terms and subject to the satisfaction of the conditions set forth in the Purchase Agreement, the Company will have the right, in its sole discretion, to sell to B. Riley Principal Capital II up to an aggregate of $50,000,000 of our newly issued shares of common stock, subject to certain conditions and limitations contained in the Purchase Agreement, from time to time during the term of the Purchase Agreement, including that (i) B. Riley Principal Capital II be provided rights to purchase shares at a price based on the volume-weighted average price of the Common Stock, with a 3% discount, and (ii) that we may issue no more than the number of shares equal to 19.99% of the aggregate number of our issued and outstanding shares of common stock as of immediately prior to the execution of the Purchase Agreement without</w:t>
      </w:r>
    </w:p>
    <w:p>
      <w:pPr>
        <w:spacing w:after="0" w:line="3" w:lineRule="exact"/>
        <w:rPr>
          <w:sz w:val="20"/>
          <w:szCs w:val="20"/>
          <w:color w:val="auto"/>
        </w:rPr>
      </w:pPr>
    </w:p>
    <w:p>
      <w:pPr>
        <w:jc w:val="both"/>
        <w:ind w:firstLine="8"/>
        <w:spacing w:after="0" w:line="253"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obtaining stockholder approval or (b) ensuring that the price per share paid by B. Riley Principal Capital II for all shares purchased equals or exceeds $2.9318 per share, which would allow the issuance to exceed the Exchange Cap under applicable Nasdaq rules. We plan to use proceeds from these sales for strategic initiatives, including the commercialization of a South Asia smart infrastructure contract and investment in next-generation technology. As of August 14, 2025, sales under the Purchase Agreement had not yet commenced.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Partner Referral Agreement</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June 30, 2025, we entered into a Sales Partner Referral Agreement (the “Referral Agreement”) with Burkhan LLC (the “Sales Partner”), an affiliate of Burkhan.</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Pursuant to the Referral Agreement, the Sales Partner will, on a non-exclusive basis, promote certain of our products and refer potential customers to us. We may approve or reject any customer opportunity presented by the Sales Partner in its sole discretion. For any approved customer opportunity, the Sales Partner and us will negotiate in good faith on the commission payable to the Sales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5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Burkhan, as described in the referral exhibit thereto (the “Referral Exhibit”). Under the Referral Exhibit, BST will purchase up to approximately $56.5 million of our products on behalf of an unaffiliated end user, beginning in the second quarter of 2025 through 2026. BST will receive a financing fee of 2.5% of the total purchase price from the end user and Sales Partner will receive a commission payable by us of up to 10%, depending on our gross margins under the purchase order, payable in cash or partially, at our discretion, in shares of our common stock, as described in the Referral Exhibit.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have identified potential future business opportunities that could significantly accelerate growth through near-term customer implementations. Although Blaize has no contractual arrangement(s) with respect to such pipeline and there is no assurance of a future contractual arrangement, the pipeline contains target accounts and opportunities that have been identified and verified as potential customers for Blaize products and services. We classify certain key metrics related to our pipeline into the following categories: proof of concept stage, partners, and design wins.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Proof of Concept Stage</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our technology’s significant value proposition along with its tailored use scenarios and satisfaction of customer and/or partner requirements. As of June 30, 2025, a total of 49 POCs have been initiated or are in progress with a potential customer.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June 30, 2025, Blaize has a total of 36 Partners.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Wins</w:t>
      </w:r>
    </w:p>
    <w:p>
      <w:pPr>
        <w:spacing w:after="0" w:line="121"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June 30, 2025, a total of 25 Design Wins have been confirmed with a Partner or customer.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117" w:lineRule="exact"/>
        <w:rPr>
          <w:sz w:val="20"/>
          <w:szCs w:val="20"/>
          <w:color w:val="auto"/>
        </w:rPr>
      </w:pPr>
    </w:p>
    <w:p>
      <w:pPr>
        <w:ind w:left="900" w:hanging="44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 this involves providing customized design services to our customers, tailored to their specific requirements.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this encompasses the sale of our semiconductor products through various supply agreements.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revenue — this encompasses the sale of our applications and other software products through various licensing agreements.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(“cost of revenue”), is primarily comprised of the cost of semiconductors purchased from subcontractors, including wafer fabrication, assembly, testing and packaging, board, and device costs as well as indirect costs such as inventory carrying costs and inventory valuation reserves. In addition, cost of revenue (exclusive of depreciation and amortization) also includes direct labor costs associated with the servicing of our engineering services revenue contracts.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primarily consists of personnel-related expenses for our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depreciation and amortization on long-lived assets such as computer equipment, capitalized software licenses, furniture and fixtures, leasehold improvements, office equipment and vehicles.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Transaction costs primarily consist of direct incremental legal, consulting and banking fees primarily related to the Merger.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tables set forth Blaize’s condensed consolidated statements of operations data for the three and six months ended June 30, 2025 and 2024, respectively, as well as changes between periods. The period-to-period comparison of financial results is not necessarily indicative of future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tbl>
      <w:tblPr>
        <w:tblLayout w:type="fixed"/>
        <w:tblInd w:w="0" w:type="dxa"/>
        <w:tblCellMar>
          <w:top w:w="0" w:type="dxa"/>
          <w:left w:w="0" w:type="dxa"/>
          <w:bottom w:w="0" w:type="dxa"/>
          <w:right w:w="0" w:type="dxa"/>
        </w:tblCellMar>
      </w:tblPr>
      <w:tr>
        <w:trPr>
          <w:trHeight w:val="155"/>
        </w:trPr>
        <w:tc>
          <w:tcPr>
            <w:tcW w:w="3620" w:type="dxa"/>
            <w:vAlign w:val="bottom"/>
          </w:tcPr>
          <w:p>
            <w:pPr>
              <w:spacing w:after="0"/>
              <w:rPr>
                <w:sz w:val="13"/>
                <w:szCs w:val="13"/>
                <w:color w:val="auto"/>
              </w:rPr>
            </w:pPr>
          </w:p>
        </w:tc>
        <w:tc>
          <w:tcPr>
            <w:tcW w:w="1680" w:type="dxa"/>
            <w:vAlign w:val="bottom"/>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20" w:type="dxa"/>
            <w:vAlign w:val="bottom"/>
          </w:tcPr>
          <w:p>
            <w:pPr>
              <w:spacing w:after="0"/>
              <w:rPr>
                <w:sz w:val="13"/>
                <w:szCs w:val="13"/>
                <w:color w:val="auto"/>
              </w:rPr>
            </w:pPr>
          </w:p>
        </w:tc>
        <w:tc>
          <w:tcPr>
            <w:tcW w:w="114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4"/>
          </w:tcPr>
          <w:p>
            <w:pPr>
              <w:jc w:val="center"/>
              <w:ind w:right="44"/>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w:t>
            </w:r>
          </w:p>
        </w:tc>
        <w:tc>
          <w:tcPr>
            <w:tcW w:w="220" w:type="dxa"/>
            <w:vAlign w:val="bottom"/>
          </w:tcPr>
          <w:p>
            <w:pPr>
              <w:spacing w:after="0"/>
              <w:rPr>
                <w:sz w:val="13"/>
                <w:szCs w:val="13"/>
                <w:color w:val="auto"/>
              </w:rPr>
            </w:pPr>
          </w:p>
        </w:tc>
        <w:tc>
          <w:tcPr>
            <w:tcW w:w="11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3"/>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1,759</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  $</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2,217</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31F20"/>
        </w:rPr>
        <w:t>We experienced increases in revenue for both the three and six months ended June 30, 2025, as compared to the equivalent prior year periods. For the three months ended June 30, 2025, revenue increased 789% to $2.0 million, up from approximately $0.2 million for the three months ended June 30, 2024. The increase was primarily due to an increase of $1.4 million in hardware product sales and an increase of $0.6 million in software revenue partially offset by a decrease of $0.2 million in engineering services revenue due to the conclusion of a development contract with a strategic investor. For the six months ended June 30, 2025, revenue increased 287% to $3.0 million compared to $0.8 million during the six months ended June 30, 2024. The increase was primarily due to an increase of $2.4 million in hardware product sales and an increase of $0.6 million in software revenue, partially offset by a decrease of $0.8 million in engineering services revenue due to the end of the development contract with the strategic investor.</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The following table sets forth Blaize’s revenue by customer geographical location: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4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74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74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7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5"/>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900" w:type="dxa"/>
            <w:vAlign w:val="bottom"/>
            <w:tcBorders>
              <w:bottom w:val="single" w:sz="8" w:color="auto"/>
            </w:tcBorders>
          </w:tcPr>
          <w:p>
            <w:pPr>
              <w:jc w:val="right"/>
              <w:ind w:right="1"/>
              <w:spacing w:after="0" w:line="129" w:lineRule="exact"/>
              <w:rPr>
                <w:sz w:val="20"/>
                <w:szCs w:val="20"/>
                <w:color w:val="auto"/>
              </w:rPr>
            </w:pPr>
            <w:r>
              <w:rPr>
                <w:rFonts w:ascii="Times New Roman" w:cs="Times New Roman" w:eastAsia="Times New Roman" w:hAnsi="Times New Roman"/>
                <w:sz w:val="13"/>
                <w:szCs w:val="13"/>
                <w:b w:val="1"/>
                <w:bCs w:val="1"/>
                <w:color w:val="auto"/>
              </w:rPr>
              <w:t>% of Revenue</w:t>
            </w: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95"/>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900" w:type="dxa"/>
            <w:vAlign w:val="bottom"/>
            <w:tcBorders>
              <w:bottom w:val="single" w:sz="8" w:color="auto"/>
            </w:tcBorders>
          </w:tcPr>
          <w:p>
            <w:pPr>
              <w:jc w:val="right"/>
              <w:ind w:right="4"/>
              <w:spacing w:after="0" w:line="129" w:lineRule="exact"/>
              <w:rPr>
                <w:sz w:val="20"/>
                <w:szCs w:val="20"/>
                <w:color w:val="auto"/>
              </w:rPr>
            </w:pPr>
            <w:r>
              <w:rPr>
                <w:rFonts w:ascii="Times New Roman" w:cs="Times New Roman" w:eastAsia="Times New Roman" w:hAnsi="Times New Roman"/>
                <w:sz w:val="13"/>
                <w:szCs w:val="13"/>
                <w:b w:val="1"/>
                <w:bCs w:val="1"/>
                <w:color w:val="auto"/>
              </w:rPr>
              <w:t>% of Revenue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5"/>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900" w:type="dxa"/>
            <w:vAlign w:val="bottom"/>
            <w:tcBorders>
              <w:bottom w:val="single" w:sz="8" w:color="auto"/>
            </w:tcBorders>
          </w:tcPr>
          <w:p>
            <w:pPr>
              <w:jc w:val="right"/>
              <w:ind w:right="13"/>
              <w:spacing w:after="0" w:line="129" w:lineRule="exact"/>
              <w:rPr>
                <w:sz w:val="20"/>
                <w:szCs w:val="20"/>
                <w:color w:val="auto"/>
              </w:rPr>
            </w:pPr>
            <w:r>
              <w:rPr>
                <w:rFonts w:ascii="Times New Roman" w:cs="Times New Roman" w:eastAsia="Times New Roman" w:hAnsi="Times New Roman"/>
                <w:sz w:val="13"/>
                <w:szCs w:val="13"/>
                <w:b w:val="1"/>
                <w:bCs w:val="1"/>
                <w:color w:val="auto"/>
              </w:rPr>
              <w:t>% of Revenue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5"/>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9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 of Revenue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3"/>
        </w:trPr>
        <w:tc>
          <w:tcPr>
            <w:tcW w:w="2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-959485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-959485</wp:posOffset>
            </wp:positionV>
            <wp:extent cx="1117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-959485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-959485</wp:posOffset>
            </wp:positionV>
            <wp:extent cx="1117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-959485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-959485</wp:posOffset>
            </wp:positionV>
            <wp:extent cx="1111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-959485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-959485</wp:posOffset>
            </wp:positionV>
            <wp:extent cx="1117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231F20"/>
        </w:rPr>
        <w:t>Costs and Expenses</w:t>
      </w:r>
    </w:p>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1680" w:type="dxa"/>
            <w:vAlign w:val="bottom"/>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30,</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Borders>
              <w:bottom w:val="single" w:sz="8" w:color="auto"/>
            </w:tcBorders>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shd w:val="clear" w:color="auto" w:fill="CFF0FC"/>
          </w:tcPr>
          <w:p>
            <w:pPr>
              <w:ind w:left="40"/>
              <w:spacing w:after="0" w:line="182" w:lineRule="exact"/>
              <w:rPr>
                <w:sz w:val="20"/>
                <w:szCs w:val="20"/>
                <w:color w:val="auto"/>
              </w:rPr>
            </w:pPr>
            <w:r>
              <w:rPr>
                <w:rFonts w:ascii="Times New Roman" w:cs="Times New Roman" w:eastAsia="Times New Roman" w:hAnsi="Times New Roman"/>
                <w:sz w:val="16"/>
                <w:szCs w:val="16"/>
                <w:color w:val="auto"/>
              </w:rPr>
              <w:t>Cost of revenue (exclusive of depreciation and</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3"/>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12,992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26,349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17,357</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3"/>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Transaction costs</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12,035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11,949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13,894%</w:t>
            </w: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-161925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-161925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-161925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-161925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-161925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-161925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Cost of revenue</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31F20"/>
        </w:rPr>
        <w:t>Cost of revenue increased for both the three and six months ended June 30, 2025, as compared to the equivalent prior year periods. For the three months ended June 30, 2025, cost of revenue increased by $0.5 million, or 213%, to $0.8 million, up from $0.3 million in the three months ended June 30, 2024. This increase was mainly due to an increase of $0.6 million in hardware product sales costs due to fulfilling additional sales contracts, partially offset by a small reduction in inventory carrying costs. For the six months ended June 30, 2025, cost of revenue increased by $0.6 million, or 101%, to $1.1 million, up from $0.6 million in the six months ended June 30, 2024. This increase was primarily attributable to an increase of $0.9 million in hardware product sales costs, offset by a $0.4 million reduction in inventory carrying costs. This increase in hardware product sales costs was primarily driven by the additional costs associated with fulfilling new sales contracts.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Research and development</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31F20"/>
        </w:rPr>
        <w:t>R&amp;D expense increased for both the three and six months ended June 30, 2025, as compared to the equivalent prior year periods. R&amp;D expense was $9.6 million and $22.7 million for the three and six months ended June 30, 2025, respectively, reflecting increases of $3.7 million, or 64%, and $12.8 million, or 128%, compared to the three and six months ended June 30, 2024, respectively. For the three months ended June 30, 2025, the increase was primarily driven by an increase in stock-based compensation of $3.0 million, higher equipment maintenance and software expenses of $0.7 million and software optimization expenses of $0.6 million, partially offset by a $0.9 million reduction in payroll costs. The increase in R&amp;D expense in the six-month period ended June 30, 2025 was primarily driven by an increase in stock-based compensation of $8.8 million, increased equipment maintenance and software expenses of $1.4 million, new chip IP license and design costs of $1.2 million, and $0.7 million for software optimization services.</w:t>
      </w:r>
    </w:p>
    <w:p>
      <w:pPr>
        <w:spacing w:after="0" w:line="8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31F20"/>
        </w:rPr>
        <w:t>The increases in R&amp;D expenses described above were primarily for strategic investments in innovation, and we expect the increases in R&amp;D expense to continue as we support the development of our next generation product portfolio.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Selling, general and administrative</w:t>
      </w:r>
    </w:p>
    <w:p>
      <w:pPr>
        <w:spacing w:after="0" w:line="11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31F20"/>
        </w:rPr>
        <w:t>SG&amp;A expense significantly increased for both the three and six months ended June 30, 2025, as compared to the equivalent prior year periods. For the three months ended June 30, 2025, SG&amp;A expense increased by $8.0 million, or 160%, compared to the three months ended June 30, 2024. This increase was primarily due to an increase of $4.2 million in stock-based compensation, an increase of $2.0 million in professional services, an increase of $0.7 million in payroll expense, an increase of $0.5 million in marketing and public relations expenses and an increase of $0.6 million in other corporate expenses, including insurance and IT costs. For the six months ended June 30, 2025, SG&amp;A expense increased by $17.4 million, or 193%, reaching $26.3 million, up from $9.0 million for the six months ended June 30, 2024. This increase was primarily due to an increase of $9.1 million in stock-based compensation, an increase of $3.3 million in professional services, an increase of $2.1 million in payroll expense, an increase of $1.3 million in marketing and public relations expenses, and an increase of $1.6 million in other corporate expenses, including insurance and IT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Depreciation and amortization</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31F20"/>
        </w:rPr>
        <w:t>Depreciation and amortization expense was $0.5 million and $0.6 million for the three and six months ended June 30, 2025, respectively, reflecting increases of $0.3 million, or 148%, and $0.2 million, or 48%, compared to the three and six months ended June 30, 2024, respectively. The increases were primarily due to updating the estimated residual value of some of our assets.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Transaction costs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31F20"/>
        </w:rPr>
        <w:t>Transaction costs for the six months ended June 30, 2025 increased by $12.0 million as compared to the six months ended June 30, 2024 as a direct result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231F20"/>
        </w:rPr>
        <w:t>Total Other Expense, net</w:t>
      </w:r>
    </w:p>
    <w:tbl>
      <w:tblPr>
        <w:tblLayout w:type="fixed"/>
        <w:tblInd w:w="0" w:type="dxa"/>
        <w:tblCellMar>
          <w:top w:w="0" w:type="dxa"/>
          <w:left w:w="0" w:type="dxa"/>
          <w:bottom w:w="0" w:type="dxa"/>
          <w:right w:w="0" w:type="dxa"/>
        </w:tblCellMar>
      </w:tblPr>
      <w:tr>
        <w:trPr>
          <w:trHeight w:val="155"/>
        </w:trPr>
        <w:tc>
          <w:tcPr>
            <w:tcW w:w="3540" w:type="dxa"/>
            <w:vAlign w:val="bottom"/>
          </w:tcPr>
          <w:p>
            <w:pPr>
              <w:spacing w:after="0"/>
              <w:rPr>
                <w:sz w:val="13"/>
                <w:szCs w:val="13"/>
                <w:color w:val="auto"/>
              </w:rPr>
            </w:pPr>
          </w:p>
        </w:tc>
        <w:tc>
          <w:tcPr>
            <w:tcW w:w="1980" w:type="dxa"/>
            <w:vAlign w:val="bottom"/>
            <w:gridSpan w:val="7"/>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3"/>
                <w:szCs w:val="13"/>
                <w:color w:val="auto"/>
              </w:rPr>
            </w:pPr>
          </w:p>
        </w:tc>
        <w:tc>
          <w:tcPr>
            <w:tcW w:w="9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Debt financing charge on convertible notes</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(464)</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on foreign exchange transactions</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9"/>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(155,18</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(5,872)</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(165,703)</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(10,523)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1,475%</w:t>
            </w:r>
          </w:p>
        </w:tc>
        <w:tc>
          <w:tcPr>
            <w:tcW w:w="0" w:type="dxa"/>
            <w:vAlign w:val="bottom"/>
          </w:tcPr>
          <w:p>
            <w:pPr>
              <w:spacing w:after="0"/>
              <w:rPr>
                <w:sz w:val="1"/>
                <w:szCs w:val="1"/>
                <w:color w:val="auto"/>
              </w:rPr>
            </w:pPr>
          </w:p>
        </w:tc>
      </w:tr>
      <w:tr>
        <w:trPr>
          <w:trHeight w:val="203"/>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(4,860)</w:t>
            </w:r>
          </w:p>
        </w:tc>
        <w:tc>
          <w:tcPr>
            <w:tcW w:w="2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(60,345)</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(61,690)</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(4,587)%</w:t>
            </w:r>
          </w:p>
        </w:tc>
        <w:tc>
          <w:tcPr>
            <w:tcW w:w="0" w:type="dxa"/>
            <w:vAlign w:val="bottom"/>
          </w:tcPr>
          <w:p>
            <w:pPr>
              <w:spacing w:after="0"/>
              <w:rPr>
                <w:sz w:val="1"/>
                <w:szCs w:val="1"/>
                <w:color w:val="auto"/>
              </w:rPr>
            </w:pPr>
          </w:p>
        </w:tc>
      </w:tr>
      <w:tr>
        <w:trPr>
          <w:trHeight w:val="189"/>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Change in fair value of earnout share liabilities</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109,26</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(7,257)</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(7,257)</w:t>
            </w:r>
          </w:p>
        </w:tc>
        <w:tc>
          <w:tcPr>
            <w:tcW w:w="2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109,261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fair value of unissued shares</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2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2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(706)</w:t>
            </w:r>
          </w:p>
        </w:tc>
        <w:tc>
          <w:tcPr>
            <w:tcW w:w="2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(496)</w:t>
            </w:r>
          </w:p>
        </w:tc>
        <w:tc>
          <w:tcPr>
            <w:tcW w:w="2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82"/>
        </w:trPr>
        <w:tc>
          <w:tcPr>
            <w:tcW w:w="354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6"/>
                <w:szCs w:val="16"/>
                <w:color w:val="auto"/>
              </w:rPr>
              <w:t>Total other expense, net</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50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(107,91</w:t>
            </w:r>
          </w:p>
        </w:tc>
        <w:tc>
          <w:tcPr>
            <w:tcW w:w="22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54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(7,667)</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(6,780)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(117,245)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(9,331)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-290830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-290830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-290830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-290830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-290830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-290830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Total other expense, net</w:t>
      </w:r>
    </w:p>
    <w:p>
      <w:pPr>
        <w:spacing w:after="0" w:line="11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231F20"/>
        </w:rPr>
        <w:t>Total other expense, net was $7.7 million and $117.2 million for the three and six months ended June 30, 2025, respectively, reflecting increases of $6.8 million, or 764%, and $107.9 million, or 1,157%, compared to the three and six months ended June 30, 2024.</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Total other expense, net for the three months ended June 30, 2025 was primarily comprised of expense from the change in the fair value of the earnout shares liability of $7.3 million. For the six months ended June 30, 2025, total other expense, net was primarily comprised of expense from the change in the fair value of the convertible notes and warrant liabilities of $165.7 million and $60.3 million, respectively, along with $0.5 million of other expenses, offset by income from the change in the fair value of the earnout shares liability of $109.3 million.</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Total other expense, net for the three months ended June 30, 2024 was primarily comprised of expense from the change in fair value of the convertible notes of $5.9 million, partially offset by income from the change in fair value of the warrant liabilities of $4.9 million. For the six months ended June 30, 2024, total other expense, net was primarily comprised of expense from the change in fair value of the convertible notes of $10.5 million, partially offset by income from the change in fair value of the warrant liabilities of $1.3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Provision for Income Taxes</w:t>
      </w:r>
    </w:p>
    <w:tbl>
      <w:tblPr>
        <w:tblLayout w:type="fixed"/>
        <w:tblInd w:w="0" w:type="dxa"/>
        <w:tblCellMar>
          <w:top w:w="0" w:type="dxa"/>
          <w:left w:w="0" w:type="dxa"/>
          <w:bottom w:w="0" w:type="dxa"/>
          <w:right w:w="0" w:type="dxa"/>
        </w:tblCellMar>
      </w:tblPr>
      <w:tr>
        <w:trPr>
          <w:trHeight w:val="155"/>
        </w:trPr>
        <w:tc>
          <w:tcPr>
            <w:tcW w:w="3080" w:type="dxa"/>
            <w:vAlign w:val="bottom"/>
          </w:tcPr>
          <w:p>
            <w:pPr>
              <w:spacing w:after="0"/>
              <w:rPr>
                <w:sz w:val="13"/>
                <w:szCs w:val="13"/>
                <w:color w:val="auto"/>
              </w:rPr>
            </w:pPr>
          </w:p>
        </w:tc>
        <w:tc>
          <w:tcPr>
            <w:tcW w:w="184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5"/>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tcBorders>
              <w:bottom w:val="single" w:sz="8" w:color="auto"/>
            </w:tcBorders>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600" w:type="dxa"/>
            <w:vAlign w:val="bottom"/>
            <w:shd w:val="clear" w:color="auto" w:fill="CFF0FC"/>
          </w:tcPr>
          <w:p>
            <w:pPr>
              <w:jc w:val="right"/>
              <w:ind w:right="445"/>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54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62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201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66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2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31F20"/>
        </w:rPr>
        <w:t>The provision for income taxes was approximately $0.0 million and $0.2 million for the three and six months ended June 30, 2025, respectively, and our effective tax rate was approximately (0.1)% and (0.1)%, respectively, as compared to approximately $0.1 million and $0.3 million of provision for income taxes, and effective tax rates of approximately (1.1)% and (1.0)%, during the three and six months ended June 30, 2024 respectively. The effective income tax rate was primarily driven by the valuation allowance which is driven by the deferred tax assets arising from capitalized research and experimental expenditures and the net operating losses.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Net Loss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31F20"/>
        </w:rPr>
        <w:t>Net loss was approximately $29.6 million and $177.4 million for the three and six months ended June 30, 2025, respectively, compared to a net loss of approximately $12.2 million and $28.9 million for the three and six months ended June 30, 2024, respectively. The increases in net loss for the three months ended June 30, 2025 of $17.4 million comparatively was primarily attributable to an increase in stock based compensation expense of $7.2 million, an increase in professional services of $1.8 million and an increase in the change in fair value of various instruments including convertible notes, warrant liabilities, earnout and unissued shares in the respective periods of $6.6 million. The increase in net loss for the six months ended June 30, 2025 $148.5 million comparatively was primarily attributable to increase in stock based compensation expense of $9.1 million, an increase in professional services of $2.7 million and an increase in the change in fair value of various instruments including convertible notes, warrant liabilities, earnout and unissued shares in the respective periods of $107.9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231F20"/>
        </w:rPr>
        <w:t>Non-GAAP Measures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Management utilizes earnings before interest, tax, depreciation and amortization (“EBITDA”) adjusted for irregular or non-recurring items (“Adjusted EBITDA”), which are non-generally accepted accounting principles in the United States (“U.S. GAAP”) financial measures (“non-GAAP measures”), to assess performance and make resource allocation decisions across its segments. We believe these measures are valuable to management, investors and other users of our financial information. EBITDA and Adjusted EBITDA are used to evaluate operating profitability on a more variable cost basis, as these measures exclude depreciation and amortization expenses primarily to capital expenditures and acquisitions from prior periods. This facilitates a more direct comparison of our operating performance relative to competitors. Adjusted EBITDA further assists us in evaluating performance consistently across periods by excluding the impact of certain items that we believe do not directly reflect our core operations and are therefore not considered in measuring ongoing performance. Adjusted EBITDA is defined as net loss before interest, taxes, depreciation and amortization, certain non-cash items and other adjustments that are excluded from the Company's assessment of ongoing operating performance.</w:t>
      </w:r>
    </w:p>
    <w:p>
      <w:pPr>
        <w:spacing w:after="0" w:line="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It is management's intent to provide non-GAAP financial information to enhance the understanding of Blaize’s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performance. The non-GAAP financial information presented may be determined or calculated differently by other companies and may not be directly comparable to that of other companies. All non-GAAP measures presented in this Quarterly Report are reconciled to their closest reported U.S. GAAP measure. Reconciliations of historical adjusted financial measures to corresponding U.S. GAAP measures are provided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reflects our EBITDA and Adjusted EBITDA:</w:t>
      </w:r>
    </w:p>
    <w:tbl>
      <w:tblPr>
        <w:tblLayout w:type="fixed"/>
        <w:tblInd w:w="0" w:type="dxa"/>
        <w:tblCellMar>
          <w:top w:w="0" w:type="dxa"/>
          <w:left w:w="0" w:type="dxa"/>
          <w:bottom w:w="0" w:type="dxa"/>
          <w:right w:w="0" w:type="dxa"/>
        </w:tblCellMar>
      </w:tblPr>
      <w:tr>
        <w:trPr>
          <w:trHeight w:val="151"/>
        </w:trPr>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right"/>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(29,589)</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(12,153)</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(17,436)</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143%</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(177,350)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(28,896)</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(148,454)</w:t>
            </w: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20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expense/(income), net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(314)</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(713)</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w:t>
            </w:r>
          </w:p>
        </w:tc>
        <w:tc>
          <w:tcPr>
            <w:tcW w:w="3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(29,408)</w:t>
            </w:r>
          </w:p>
        </w:tc>
        <w:tc>
          <w:tcPr>
            <w:tcW w:w="1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(12,471)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(16,937)</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136%</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(177,215)</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(28,570)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(148,645)</w:t>
            </w: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0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2,087%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189"/>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Fair value changes and financing</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charges</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412%</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117,087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107,445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189"/>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inventory cost realignment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(544)</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(519)</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2,076%</w:t>
            </w:r>
          </w:p>
        </w:tc>
        <w:tc>
          <w:tcPr>
            <w:tcW w:w="0" w:type="dxa"/>
            <w:vAlign w:val="bottom"/>
          </w:tcPr>
          <w:p>
            <w:pPr>
              <w:spacing w:after="0"/>
              <w:rPr>
                <w:sz w:val="1"/>
                <w:szCs w:val="1"/>
                <w:color w:val="auto"/>
              </w:rPr>
            </w:pPr>
          </w:p>
        </w:tc>
      </w:tr>
      <w:tr>
        <w:trPr>
          <w:trHeight w:val="206"/>
        </w:trPr>
        <w:tc>
          <w:tcPr>
            <w:tcW w:w="2740" w:type="dxa"/>
            <w:vAlign w:val="bottom"/>
            <w:tcBorders>
              <w:bottom w:val="single" w:sz="8" w:color="CFF0FC"/>
            </w:tcBorders>
            <w:shd w:val="clear" w:color="auto" w:fill="CFF0FC"/>
          </w:tcPr>
          <w:p>
            <w:pPr>
              <w:ind w:left="40"/>
              <w:spacing w:after="0" w:line="206" w:lineRule="exact"/>
              <w:rPr>
                <w:sz w:val="20"/>
                <w:szCs w:val="20"/>
                <w:color w:val="auto"/>
              </w:rPr>
            </w:pPr>
            <w:r>
              <w:rPr>
                <w:rFonts w:ascii="Times New Roman" w:cs="Times New Roman" w:eastAsia="Times New Roman" w:hAnsi="Times New Roman"/>
                <w:sz w:val="16"/>
                <w:szCs w:val="16"/>
                <w:color w:val="auto"/>
              </w:rPr>
              <w:t>Other adjustments</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1328%</w:t>
            </w: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13,753</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13,570</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7,415%</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(12,933)</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(10,560)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(2,373)</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(28,313)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(18,087)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(10,226)</w:t>
            </w:r>
          </w:p>
        </w:tc>
        <w:tc>
          <w:tcPr>
            <w:tcW w:w="3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-145415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-145415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-145415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-145415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-145415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-145415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both"/>
        <w:ind w:left="460" w:hanging="452"/>
        <w:spacing w:after="0" w:line="241" w:lineRule="auto"/>
        <w:tabs>
          <w:tab w:leader="none" w:pos="4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but not limited to, legal, accounting and consulting fees incurred in connection with the Merger and the impact of other items management does not believe relate to the core operations of the business (foreign exchange gains and losses, litigation expense, etc.). Management believes these costs are not reflective of our ongoing operating performance and that excluding these costs provides a more meaningful comparison of our performance over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-301625</wp:posOffset>
            </wp:positionV>
            <wp:extent cx="18084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8084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-301625</wp:posOffset>
            </wp:positionV>
            <wp:extent cx="18084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Blaize’s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31F20"/>
        </w:rPr>
        <w:t>Since the inception of Blaize and through June 30, 2025, we have funded our operations primarily with cash flows from contributions from founders or other investors and other financing activities. We have incurred recurring losses and negative cash flows since our inception, including net losses of $29.6 million and $177.4 million for the three and six months ended June 30, 2025, respectively and $12.2 million and $28.9 million for the three and six months ended June 30, 2024, respectively. As of June 30, 2025, we had cash and cash equivalents of approximately $28.6 million, and an accumulated deficit of $606.6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9" w:name="page40"/>
    <w:bookmarkEnd w:id="39"/>
    <w:p>
      <w:pPr>
        <w:jc w:val="both"/>
        <w:ind w:firstLine="449"/>
        <w:spacing w:after="0" w:line="256" w:lineRule="auto"/>
        <w:rPr>
          <w:sz w:val="20"/>
          <w:szCs w:val="20"/>
          <w:color w:val="auto"/>
        </w:rPr>
      </w:pPr>
      <w:r>
        <w:rPr>
          <w:rFonts w:ascii="Times New Roman" w:cs="Times New Roman" w:eastAsia="Times New Roman" w:hAnsi="Times New Roman"/>
          <w:sz w:val="18"/>
          <w:szCs w:val="18"/>
          <w:color w:val="231F20"/>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finance these opportunities, we will need to raise additional financing. While there can be no assurances, we intend to raise such capital through issuances of additional debt financing and public or private equity offerings or other means. If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unaudited condensed consolidated financial statements were available to be issued.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Cash Flows for the Six Months Ended June 30, 2025 and 2024</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The following table summarizes our cash flows from operating, investing, and financing activities: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60" w:type="dxa"/>
            <w:vAlign w:val="bottom"/>
          </w:tcPr>
          <w:p>
            <w:pPr>
              <w:spacing w:after="0"/>
              <w:rPr>
                <w:sz w:val="13"/>
                <w:szCs w:val="13"/>
                <w:color w:val="auto"/>
              </w:rPr>
            </w:pPr>
          </w:p>
        </w:tc>
        <w:tc>
          <w:tcPr>
            <w:tcW w:w="31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(32,373)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(21,626)</w:t>
            </w: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(21,626)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operating activities</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31F20"/>
        </w:rPr>
        <w:t>Net cash used in operating activities was $32.4 million during the six months ended June 30, 2025, compared to $21.6 million for the six months ended June 30, 2024. The increase in cash used was primarily due to an increase of $148.5 million in net loss, partially offset by an increase of $125.5 million in non-cash net income adjustments and an increase of $12.1 million in changes in operating assets and liabilities.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investing activities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For the six months ended June 30, 2025 and 2024, we used $0.7 million and $0.1 million of cash to purchase property and equipment,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increase was primarily due to the licensing of software.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provided by financing activities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For the six months ended June 30, 2025, net cash provided by financing activities was $11.4 million, which primarily consisted of $15.9 million of proceeds from the Merger and PIPE financing, partially offset by the $4.3 million payment of deferred offering costs. Net cash provided by financing activities for the six months ended June 30, 2024 was $105.9 million and primarily consisted of $110.7 million in proceeds from the issuance of secured convertible notes under the 2023 Note Purchase Agreement, partially offset by the payment of demand notes of $4.8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Material Cash Requirements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31F20"/>
        </w:rPr>
        <w:t>As of June 30, 2025 and December 31, 2024, we had outstanding purchase orders and contractual obligations totaling $2.0 million and $0.2 million, respectively, to procure inventory. The outstanding inventory purchase orders and preauthorized commitments to procure strategic components based on our expected demand are placed with a server supplier, our primary third-party contract manufacturer, and a semiconductor supplier. We have an obligation to purchase inventories that have been purchased by the contract manufacturer when components have not been consumed within a period defined in the terms of our agreement. While we 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June 30, 2025 and December 31, 2024, the liability balance of our accrued loss on accrued purchase commitments equaled $0.6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231F20"/>
        </w:rPr>
        <w:t>Off Balance Sheet Arrangements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231F20"/>
        </w:rPr>
        <w:t>As of the date of this Quarterly Report,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Currently we do not engage in off-balance sheet financing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Blaize is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7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 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8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 convertible debt securities during the previous three-years.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The preparation of these condensed consolidated financial statements requires management to make estimates, assumptions and judgments that affect the reported amounts of assets and liabilities and disclosure of contingent assets and liabilities at the date of the condensed consolidated financial statements, and the reported amounts of revenue and expenses during the applicable periods.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condensed consolidated financial statements, which, in turn, could change the results from those reported.</w:t>
      </w:r>
    </w:p>
    <w:p>
      <w:pPr>
        <w:spacing w:after="0" w:line="8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included in Part 1. Item 1. of this Quarterly Report for a description of the significant accounting policies that we use to prepare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have considered recently issued accounting pronouncements and are currently evaluating the impact the adoption of such pronouncements will have on our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operations expose us to a variety of market risks. We monitor and manage these financial exposures as an integral part of our overall risk management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exchange rate risk by virtue of our international operations. This risk arises because we use different currencies to recognize revenue and pay operating expenses. We derived minimal and 34% of our revenue for the three and six months ended June 30, 2025, respectively, and 1% and 44% of our revenue for the three and six months ended June 30, 2024,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United Stated dollar (“U.S. dollar”). We are primarily exposed to movements in foreign currencies, predominately in the Indian rupee and British pound, which are the local currencies of our foreign subsidiaries whose functional currency is also the US dollar. We are also exposed to movements in the Japanese Yen.</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Changes in exchange rates between the applicable foreign currency and the U.S. dollar will affect the remeasurement of our foreign subsidiaries’ financial results into U.S. dollars for purposes of reporting our consolidated financial results. For the three and six months ended June 30, 2025 and 2024, the gain and losses on foreign exchange transactions were not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cash accounts in financial institutions may at times exceed the Federal Depository Insurance coverage of $250,000.</w:t>
      </w:r>
    </w:p>
    <w:p>
      <w:pPr>
        <w:spacing w:after="0" w:line="11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as of June 30, 2025 and December 31, 2024.</w:t>
      </w:r>
    </w:p>
    <w:p>
      <w:pPr>
        <w:spacing w:after="0" w:line="81" w:lineRule="exact"/>
        <w:rPr>
          <w:sz w:val="20"/>
          <w:szCs w:val="20"/>
          <w:color w:val="auto"/>
        </w:rPr>
      </w:pPr>
    </w:p>
    <w:p>
      <w:pPr>
        <w:jc w:val="both"/>
        <w:ind w:firstLine="505"/>
        <w:spacing w:after="0" w:line="282" w:lineRule="auto"/>
        <w:rPr>
          <w:sz w:val="20"/>
          <w:szCs w:val="20"/>
          <w:color w:val="auto"/>
        </w:rPr>
      </w:pPr>
      <w:r>
        <w:rPr>
          <w:rFonts w:ascii="Times New Roman" w:cs="Times New Roman" w:eastAsia="Times New Roman" w:hAnsi="Times New Roman"/>
          <w:sz w:val="18"/>
          <w:szCs w:val="18"/>
          <w:color w:val="auto"/>
        </w:rPr>
        <w:t>As of June 30, 2025, two customers, one a related party, accounted for approximately 58% and 30% of the Company's accounts receivable. As of December 31, 2024, one customer accounted for approximately 98% of our total accounts receivable.</w:t>
      </w:r>
    </w:p>
    <w:p>
      <w:pPr>
        <w:spacing w:after="0" w:line="54"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The following table presents the Company's significant customers:</w:t>
      </w:r>
    </w:p>
    <w:tbl>
      <w:tblPr>
        <w:tblLayout w:type="fixed"/>
        <w:tblInd w:w="0" w:type="dxa"/>
        <w:tblCellMar>
          <w:top w:w="0" w:type="dxa"/>
          <w:left w:w="0" w:type="dxa"/>
          <w:bottom w:w="0" w:type="dxa"/>
          <w:right w:w="0" w:type="dxa"/>
        </w:tblCellMar>
      </w:tblPr>
      <w:tr>
        <w:trPr>
          <w:trHeight w:val="156"/>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300" w:type="dxa"/>
            <w:vAlign w:val="bottom"/>
            <w:tcBorders>
              <w:bottom w:val="single" w:sz="8" w:color="auto"/>
            </w:tcBorders>
            <w:gridSpan w:val="4"/>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tcBorders>
              <w:bottom w:val="single" w:sz="8" w:color="auto"/>
            </w:tcBorders>
            <w:gridSpan w:val="4"/>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8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A (See Note 15)</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B (See Note 15)</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C (See Note 15)</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Customer D</w:t>
            </w:r>
          </w:p>
        </w:tc>
        <w:tc>
          <w:tcPr>
            <w:tcW w:w="820" w:type="dxa"/>
            <w:vAlign w:val="bottom"/>
          </w:tcPr>
          <w:p>
            <w:pPr>
              <w:spacing w:after="0"/>
              <w:rPr>
                <w:sz w:val="16"/>
                <w:szCs w:val="16"/>
                <w:color w:val="auto"/>
              </w:rPr>
            </w:pPr>
          </w:p>
        </w:tc>
        <w:tc>
          <w:tcPr>
            <w:tcW w:w="60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880" w:type="dxa"/>
            <w:vAlign w:val="bottom"/>
          </w:tcPr>
          <w:p>
            <w:pPr>
              <w:spacing w:after="0"/>
              <w:rPr>
                <w:sz w:val="16"/>
                <w:szCs w:val="16"/>
                <w:color w:val="auto"/>
              </w:rPr>
            </w:pP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10%</w:t>
            </w:r>
          </w:p>
        </w:tc>
        <w:tc>
          <w:tcPr>
            <w:tcW w:w="86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E</w:t>
            </w:r>
          </w:p>
        </w:tc>
        <w:tc>
          <w:tcPr>
            <w:tcW w:w="8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hanging="332"/>
        <w:spacing w:after="0"/>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less than 10% of the Company’s revenue for the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which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(our Chief Executive Officer) and Principal Financial and Accounting Officer (our Chief Financial Officer), or persons performing similar functions, as appropriate to allow timely decisions regarding required or necessary disclosures.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2" w:name="page43"/>
    <w:bookmarkEnd w:id="42"/>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accordance with Exchange Act Rules 13a-15 and 15d-15, an evaluation was completed under the supervision and with the participation of our management, including our Chief Executive Officer and Chief Financial Officer, of the effectiveness of the design and operation of our disclosure controls and procedures as of the end of the period covered by this Quarterly Report. Prior to the Merger, when preparing the financial statements for the years ended December 31, 2024, BurTech Acquisition Corp. (“BurTech”) identified a material weakness, as discussed below, in internal control over financial reporting. As of December 31, 2024, Blaize, Inc. (“Legacy Blaize”) did not identify any material weaknesses in internal control over financial reporting. As of June 30, 2025, the material weaknesses of the combined entity were remediated by the Company, as described below. As such, our management, including our Chief Executive Officer and Chief Financial Officer, concluded that our disclosure controls and procedures were effective in providing reasonable assurance that the information required to be disclosed in our reports filed or submitted under the Exchange Act was recorded, processed, summarized, and reported within the time periods specified in the SEC’s rules and forms as of June 30,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Previously Identified Material Weaknesses</w:t>
      </w:r>
    </w:p>
    <w:p>
      <w:pPr>
        <w:spacing w:after="0" w:line="121"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Prior to the completion of the Business Combination on January 13, 2025, BurTech identified certain material weaknesses in its internal control over financial reporting. These material weaknesses primarily related to:</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accrual of penalties and interest on excise tax payable;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of funds from the Trust Account as of December 31, 2024.</w:t>
      </w:r>
    </w:p>
    <w:p>
      <w:pPr>
        <w:spacing w:after="0" w:line="63"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Business Combination, management undertook and completed several remediation actions to address the previously identified material weaknesses. These actions included:</w:t>
      </w:r>
    </w:p>
    <w:p>
      <w:pPr>
        <w:spacing w:after="0" w:line="54" w:lineRule="exact"/>
        <w:rPr>
          <w:sz w:val="20"/>
          <w:szCs w:val="20"/>
          <w:color w:val="auto"/>
        </w:rPr>
      </w:pPr>
    </w:p>
    <w:p>
      <w:pPr>
        <w:ind w:left="1020" w:right="920" w:hanging="503"/>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accounting and finance employees and contractors with appropriate expertise in U.S. GAAP and SEC reporting requirements;</w:t>
      </w:r>
    </w:p>
    <w:p>
      <w:pPr>
        <w:spacing w:after="0" w:line="1"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Blaize's accounting policies and internal control procedures across the combined entity;</w:t>
      </w:r>
    </w:p>
    <w:p>
      <w:pPr>
        <w:spacing w:after="0" w:line="63"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combined entity's financial close processes to ensure more robust documentation practices; and</w:t>
      </w:r>
    </w:p>
    <w:p>
      <w:pPr>
        <w:spacing w:after="0" w:line="63"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Blaize's systems and tools to support internal control activities and documentation across the combined entity.</w:t>
      </w:r>
    </w:p>
    <w:p>
      <w:pPr>
        <w:spacing w:after="0" w:line="63"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management has concluded that the material weaknesses identified in BurTech’s internal control over financial reporting have been remediated based on the successful implementation and sustained operation of these enhanced controls for a sufficient period of time across the combined entity and management’s testing of the effectiveness of these implemented controls.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our ongoing remediation efforts and the continued monitoring and maintenance of our control procedures as part of the implementation of Section 404 of the Sarbanes-Oxley Act of 2002, we continue to review, test, and improve the operation of our internal controls. Other than the changes described above relating to our remediation steps, there have not been any changes in our internal control over financial reporting (as such term is defined in Rules 13a-15(f) and 15d-15(f) under the Exchange Act) that occurred during the six months ended June 30, 2025,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1178560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467"/>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may become involved in litigation or other legal proceedings. See Note 14 of the Notes to the Condensed Consolidated Financial Statements in Item 1. Financial Statements (unaudited) of Part I of this Quarterly Report, which is incorporated by reference in this Item 1, for additional information regarding </w:t>
      </w:r>
      <w:r>
        <w:rPr>
          <w:rFonts w:ascii="Times New Roman" w:cs="Times New Roman" w:eastAsia="Times New Roman" w:hAnsi="Times New Roman"/>
          <w:sz w:val="18"/>
          <w:szCs w:val="18"/>
          <w:i w:val="1"/>
          <w:iCs w:val="1"/>
          <w:color w:val="auto"/>
        </w:rPr>
        <w:t>Jefferies LLC vs. Blaize Holdings, Inc</w:t>
      </w:r>
      <w:r>
        <w:rPr>
          <w:rFonts w:ascii="Times New Roman" w:cs="Times New Roman" w:eastAsia="Times New Roman" w:hAnsi="Times New Roman"/>
          <w:sz w:val="18"/>
          <w:szCs w:val="18"/>
          <w:color w:val="auto"/>
        </w:rPr>
        <w:t>. Except as described by the foregoing,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467"/>
        <w:spacing w:after="0" w:line="282" w:lineRule="auto"/>
        <w:rPr>
          <w:sz w:val="20"/>
          <w:szCs w:val="20"/>
          <w:color w:val="auto"/>
        </w:rPr>
      </w:pPr>
      <w:r>
        <w:rPr>
          <w:rFonts w:ascii="Times New Roman" w:cs="Times New Roman" w:eastAsia="Times New Roman" w:hAnsi="Times New Roman"/>
          <w:sz w:val="18"/>
          <w:szCs w:val="18"/>
          <w:color w:val="auto"/>
        </w:rPr>
        <w:t>Other than the risk factors listed below, there have been no material changes from the risk factors previously described under Part 1, Item 1A of our Annual Report on Form 10-K for the year ended December 31, 2024, filed with the SEC on April 15,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extent on our and our joint ventures’ ability to attract and retain talent, specifically in senior management and skilled technical, engineering, project management and other key roles. Macroeconomic conditions, specifically labor shortages, increased competition for employees and wage inflation could have a material impact on our ability to attract and retain talent, our turnover rate and the cost of operating our business. If we are unable to attract and retain sufficient talent, minimize employee turnover or manage wage inflation, it could have a material adverse effect on our business, financial condition, results of operations or prospects.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manufacturers could lead to production delays, increased costs, and could potentially lead to a compromise in the quality and performance of our products, which could significantly impact our business and financial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Macroeconomic conditions, such as persistent inflation,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tariffs, the Russian invasion of Ukraine and the conflicts in the Middle East, and monetary and financial uncertainties.</w:t>
      </w:r>
    </w:p>
    <w:p>
      <w:pPr>
        <w:spacing w:after="0" w:line="7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Tariffs on equipment or materials that we may rely on or use for our products could cause our costs to increase. Other adverse impacts of recent macroeconomic conditions have been, and may continue to be, supply chain constraints, logistics challenges, liquidity concerns in the broader financial services industry, and fluctuations in labor availability.</w:t>
      </w:r>
    </w:p>
    <w:p>
      <w:pPr>
        <w:spacing w:after="0" w:line="7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44" w:name="page45"/>
    <w:bookmarkEnd w:id="4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products, and in the event of a disruption in our supply chain, any efforts to develop alternative supply sources may not be successful or may take longer to take effect than anticipated.</w:t>
      </w:r>
    </w:p>
    <w:p>
      <w:pPr>
        <w:spacing w:after="0" w:line="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a fabless company, Blaize does not manufacture its own semiconductor or System-on-a-Chip (“SoC”) products and currently relies on third-party manufacturers, including Samsung Foundry and Plexus, to produce our products. Additionally, Blaize has a design, manufacturing and sales agreement with VeriSilicon, Inc. (“VeriSilicon”) that provides Blaize with design expertise, support and assistance, and certain deliverables, prototypes, products and services from VeriSilicon. Blaize cannot be sure that these manufacturers will remain in business, or that they will not be purchased by one of Blaize’s competitors or another company that is not interested in continuing to produce these products for Blaize’s intended purpose.</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reliance on these third-party manufacturers subjects us to a number of risks that include, among other things:</w:t>
      </w:r>
    </w:p>
    <w:p>
      <w:pPr>
        <w:spacing w:after="0" w:line="117" w:lineRule="exact"/>
        <w:rPr>
          <w:sz w:val="20"/>
          <w:szCs w:val="20"/>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Blaize’s;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reasons outside Blaize’s control;</w:t>
      </w:r>
    </w:p>
    <w:p>
      <w:pPr>
        <w:spacing w:after="0" w:line="63" w:lineRule="exact"/>
        <w:rPr>
          <w:rFonts w:ascii="Times New Roman" w:cs="Times New Roman" w:eastAsia="Times New Roman" w:hAnsi="Times New Roman"/>
          <w:sz w:val="18"/>
          <w:szCs w:val="18"/>
          <w:color w:val="auto"/>
        </w:rPr>
      </w:pPr>
    </w:p>
    <w:p>
      <w:pPr>
        <w:ind w:left="900" w:hanging="443"/>
        <w:spacing w:after="0" w:line="281"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Blaize’s manufacturers’ plants are located, such as changes in China-Taiwan relations that may adversely affect Blaize’s manufacturers’ and suppliers’ operations;</w:t>
      </w:r>
    </w:p>
    <w:p>
      <w:pPr>
        <w:spacing w:after="0" w:line="1"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6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Although Blaize’s semiconductor or SoC products could be produced by other manufacturers, any attempt to transition our supply arrangement to one or more other manufacturers could entail significant coordination and expense and could lead to delays in production. If Blaize is unable to arrange for sufficient production capacity among our contract manufacturers or if our contract manufacturers encounter production, quality, financial, or other difficulties, Blaize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Blaize’s and its customers’ specifications. Any disruption in supply from any supplier or manufacturing location could lead to supply delays or interruptions that could damage Blaize’s business or financial condition. If any of the risks discussed above materialize, costs could significantly increase, and Blaize’s ability to meet demand for its products could be impacted.</w:t>
      </w:r>
    </w:p>
    <w:p>
      <w:pPr>
        <w:spacing w:after="0" w:line="8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cannot predict what additional actions, if any, may be taken with respect to tariffs or trade relations between the United States and China, what products may be subject to such actions, or what actions may be taken by the China in retaliation. The adoption and expansion of trade restrictions, the occurrence of a trade war, or other governmental action related to tariffs, trade agreements or related policies have the potential to adversely impact our supply chain and access to equipment, our costs and our product margins. The additional tariffs imposed on components or equipment that we source from China will increase our costs and could have an adverse impact on our operating results and financial conditions in future periods. Blaize's supply chain and product assembly is global in nature. While most of the goods movement, including imports and exports, required to manufacture and test Blaize products are restricted to Asian countries, there are certain components that must enter or exit the US. Those components are at the highest risk of being affected by the aforementioned changes, and in turn disrupting the supply chain and Blaize's products pipeline.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select number of customers for a significant portion of our revenue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As of June 30, 2025, two customers, one a related party, accounted for approximately 58% and 30% of the Company's accounts receivable. As of December 31, 2024, one customer accounted for approximately 98% of the Company's total accounts receivable. This customer concentration exposes us to a material adverse effect if any of these significant customers were to significantly reduce purchases for any reason or favor competitors or new market participants, and we can provide no assurance that any of these customers or any of our other customers will continue to utilize our products or our services at current levels. Our customer concentration may also subject us to perceived or actual bargaining leverage that our key customers may have, given their importance to us. If our key customers seek to negotiate their agreements on terms less favorable to us and we accept such unfavorable terms, such unfavorable terms may have a material adverse effect on our business, results of operations and financial condition. Furthermore, industry consolidation and company failures could decrease the number of potential significant customers for our products and services. The decrease in the number of potential significant customers will increase our reliance on key customers and, due to the relative importance to us, may negatively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impact our bargaining position and thus our profit margins. If we were to lose one of our key customers or have a key customer cancel a key program or otherwise significantly reduce its volume of business with us or fail to pay us in full for the goods or services purchased from us, our sales and profitability would be materially reduced and our business and financial condition would be seriously harmed.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and Use of Proceeds.</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tab/>
        <w:t>Recent Sales of Unregistered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May 8, 2025, the Company issued an aggregate of 9,306 shares of common stock to Roth Capital Partners, LLC (“Roth”) in a private placement under the Securities Act in connection with that certain Letter Agreement, dated December 23, 2024, by and between the Company and Roth.</w:t>
      </w:r>
    </w:p>
    <w:p>
      <w:pPr>
        <w:spacing w:after="0" w:line="50" w:lineRule="exact"/>
        <w:rPr>
          <w:sz w:val="20"/>
          <w:szCs w:val="20"/>
          <w:color w:val="auto"/>
        </w:rPr>
      </w:pPr>
    </w:p>
    <w:p>
      <w:pPr>
        <w:ind w:left="460" w:right="9640" w:hanging="452"/>
        <w:spacing w:after="0" w:line="375" w:lineRule="auto"/>
        <w:tabs>
          <w:tab w:leader="none" w:pos="38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460" w:right="7800" w:hanging="452"/>
        <w:spacing w:after="0" w:line="375" w:lineRule="auto"/>
        <w:tabs>
          <w:tab w:leader="none" w:pos="38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Repurchases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Insider Adoption or Termination of Trading Arrangements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 director or officer adopted or terminated a trading arrangement for the purchase of Company securities for the quarterly period ended June 30, 2025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7640" w:type="dxa"/>
            <w:vAlign w:val="bottom"/>
            <w:gridSpan w:val="30"/>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64"/>
        </w:trPr>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592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375">
              <w:r>
                <w:rPr>
                  <w:rFonts w:ascii="Times New Roman" w:cs="Times New Roman" w:eastAsia="Times New Roman" w:hAnsi="Times New Roman"/>
                  <w:sz w:val="18"/>
                  <w:szCs w:val="18"/>
                  <w:color w:val="0000FF"/>
                  <w:w w:val="99"/>
                </w:rPr>
                <w:t>Third Amended and Restated Certificate of Incorporation of Blaize Holdings, Inc.</w:t>
              </w:r>
            </w:hyperlink>
          </w:p>
        </w:tc>
        <w:tc>
          <w:tcPr>
            <w:tcW w:w="172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7640" w:type="dxa"/>
            <w:vAlign w:val="bottom"/>
            <w:gridSpan w:val="30"/>
          </w:tcPr>
          <w:p>
            <w:pPr>
              <w:spacing w:after="0" w:line="19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Amended and Restated Bylaws of Blaize Holdings, Inc.</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74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Registration Rights Agreement, dated as of January 13, 2025, by and among the Company and certain</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stockholders of Legacy Blaize named therein.</w:t>
              </w:r>
            </w:hyperlink>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Amended and Restated Registration Rights Agreement, dated as of January 13, 2025, by and among the</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73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Company, certain stockholders of BurTech named therein and certain stockholders of Legacy Blaize</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378">
              <w:r>
                <w:rPr>
                  <w:rFonts w:ascii="Times New Roman" w:cs="Times New Roman" w:eastAsia="Times New Roman" w:hAnsi="Times New Roman"/>
                  <w:sz w:val="18"/>
                  <w:szCs w:val="18"/>
                  <w:color w:val="0000FF"/>
                  <w:w w:val="99"/>
                </w:rPr>
                <w:t>named therein.</w:t>
              </w:r>
            </w:hyperlink>
          </w:p>
        </w:tc>
        <w:tc>
          <w:tcPr>
            <w:tcW w:w="65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26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79">
              <w:r>
                <w:rPr>
                  <w:rFonts w:ascii="Times New Roman" w:cs="Times New Roman" w:eastAsia="Times New Roman" w:hAnsi="Times New Roman"/>
                  <w:sz w:val="18"/>
                  <w:szCs w:val="18"/>
                  <w:color w:val="0000FF"/>
                  <w:w w:val="99"/>
                </w:rPr>
                <w:t>Form of Indemnification Agreement.</w:t>
              </w:r>
            </w:hyperlink>
          </w:p>
        </w:tc>
        <w:tc>
          <w:tcPr>
            <w:tcW w:w="49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28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80">
              <w:r>
                <w:rPr>
                  <w:rFonts w:ascii="Times New Roman" w:cs="Times New Roman" w:eastAsia="Times New Roman" w:hAnsi="Times New Roman"/>
                  <w:sz w:val="18"/>
                  <w:szCs w:val="18"/>
                  <w:color w:val="0000FF"/>
                  <w:w w:val="99"/>
                </w:rPr>
                <w:t>Form of PIPE Subscription Agreement</w:t>
              </w:r>
            </w:hyperlink>
          </w:p>
        </w:tc>
        <w:tc>
          <w:tcPr>
            <w:tcW w:w="48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75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Stockholder Lock-Up Agreement, dated as of January 13, 2025, by and among the Company and certain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stockholders of Legacy Blaize named therein.</w:t>
              </w:r>
            </w:hyperlink>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75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Noteholder Lock-Up Agreement, dated as of January 13, 2025, by and among the Company and certain</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500" w:type="dxa"/>
            <w:vAlign w:val="bottom"/>
            <w:gridSpan w:val="13"/>
            <w:vMerge w:val="restart"/>
          </w:tcPr>
          <w:p>
            <w:pPr>
              <w:spacing w:after="0" w:line="196" w:lineRule="exact"/>
              <w:rPr>
                <w:rFonts w:ascii="Times New Roman" w:cs="Times New Roman" w:eastAsia="Times New Roman" w:hAnsi="Times New Roman"/>
                <w:sz w:val="18"/>
                <w:szCs w:val="18"/>
                <w:color w:val="0000FF"/>
                <w:w w:val="99"/>
              </w:rPr>
            </w:pPr>
            <w:hyperlink r:id="rId382">
              <w:r>
                <w:rPr>
                  <w:rFonts w:ascii="Times New Roman" w:cs="Times New Roman" w:eastAsia="Times New Roman" w:hAnsi="Times New Roman"/>
                  <w:sz w:val="18"/>
                  <w:szCs w:val="18"/>
                  <w:color w:val="0000FF"/>
                  <w:w w:val="99"/>
                </w:rPr>
                <w:t>securityholders of Legacy Blaize named therein.</w:t>
              </w:r>
            </w:hyperlink>
          </w:p>
        </w:tc>
        <w:tc>
          <w:tcPr>
            <w:tcW w:w="4140" w:type="dxa"/>
            <w:vAlign w:val="bottom"/>
            <w:gridSpan w:val="1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00" w:type="dxa"/>
            <w:vAlign w:val="bottom"/>
            <w:tcBorders>
              <w:bottom w:val="single" w:sz="8" w:color="0000FF"/>
            </w:tcBorders>
            <w:gridSpan w:val="13"/>
            <w:vMerge w:val="continue"/>
          </w:tcPr>
          <w:p>
            <w:pPr>
              <w:spacing w:after="0"/>
              <w:rPr>
                <w:sz w:val="5"/>
                <w:szCs w:val="5"/>
                <w:color w:val="auto"/>
              </w:rPr>
            </w:pPr>
          </w:p>
        </w:tc>
        <w:tc>
          <w:tcPr>
            <w:tcW w:w="414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75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Secured Promissory Note and Pledge Agreement, dated as of January 13, 2025, by and among BurTech</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LP LLC and BurTech.</w:t>
              </w:r>
            </w:hyperlink>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70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Letter Agreement, dated as of January 13, 2025, by and among BurTech, Merger Sub, Blaize and</w:t>
              </w:r>
            </w:hyperlink>
          </w:p>
        </w:tc>
        <w:tc>
          <w:tcPr>
            <w:tcW w:w="5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gridSpan w:val="7"/>
            <w:vMerge w:val="restart"/>
          </w:tcPr>
          <w:p>
            <w:pPr>
              <w:spacing w:after="0" w:line="196" w:lineRule="exact"/>
              <w:rPr>
                <w:rFonts w:ascii="Times New Roman" w:cs="Times New Roman" w:eastAsia="Times New Roman" w:hAnsi="Times New Roman"/>
                <w:sz w:val="18"/>
                <w:szCs w:val="18"/>
                <w:color w:val="0000FF"/>
                <w:w w:val="99"/>
              </w:rPr>
            </w:pPr>
            <w:hyperlink r:id="rId384">
              <w:r>
                <w:rPr>
                  <w:rFonts w:ascii="Times New Roman" w:cs="Times New Roman" w:eastAsia="Times New Roman" w:hAnsi="Times New Roman"/>
                  <w:sz w:val="18"/>
                  <w:szCs w:val="18"/>
                  <w:color w:val="0000FF"/>
                  <w:w w:val="99"/>
                </w:rPr>
                <w:t>Burkhan BurTech LP LLC and Blaize.</w:t>
              </w:r>
            </w:hyperlink>
          </w:p>
        </w:tc>
        <w:tc>
          <w:tcPr>
            <w:tcW w:w="4840" w:type="dxa"/>
            <w:vAlign w:val="bottom"/>
            <w:gridSpan w:val="2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0" w:type="dxa"/>
            <w:vAlign w:val="bottom"/>
            <w:tcBorders>
              <w:bottom w:val="single" w:sz="8" w:color="0000FF"/>
            </w:tcBorders>
            <w:gridSpan w:val="7"/>
            <w:vMerge w:val="continue"/>
          </w:tcPr>
          <w:p>
            <w:pPr>
              <w:spacing w:after="0"/>
              <w:rPr>
                <w:sz w:val="5"/>
                <w:szCs w:val="5"/>
                <w:color w:val="auto"/>
              </w:rPr>
            </w:pPr>
          </w:p>
        </w:tc>
        <w:tc>
          <w:tcPr>
            <w:tcW w:w="484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68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Amended and Restated Blaize Holdings, Inc. Non-Employee Director Compensation Program.</w:t>
              </w:r>
            </w:hyperlink>
          </w:p>
        </w:tc>
        <w:tc>
          <w:tcPr>
            <w:tcW w:w="8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7"/>
                <w:szCs w:val="17"/>
                <w:color w:val="auto"/>
              </w:rPr>
            </w:pPr>
          </w:p>
        </w:tc>
        <w:tc>
          <w:tcPr>
            <w:tcW w:w="74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Form of Stock Option Grant Agreement (Contingent Exercise) and Grant Notice under the Blaize, Inc.</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Amended and Restated 2011 Stock Plan.</w:t>
              </w:r>
            </w:hyperlink>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73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Common Stock Purchase Agreement, dated as of July 14, 2025, by and between the Company and B.</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5"/>
            <w:vMerge w:val="restart"/>
          </w:tcPr>
          <w:p>
            <w:pPr>
              <w:spacing w:after="0" w:line="196" w:lineRule="exact"/>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Riley Principal Capital II, LLC.</w:t>
              </w:r>
            </w:hyperlink>
          </w:p>
        </w:tc>
        <w:tc>
          <w:tcPr>
            <w:tcW w:w="5340" w:type="dxa"/>
            <w:vAlign w:val="bottom"/>
            <w:gridSpan w:val="2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tcBorders>
              <w:bottom w:val="single" w:sz="8" w:color="0000FF"/>
            </w:tcBorders>
            <w:gridSpan w:val="5"/>
            <w:vMerge w:val="continue"/>
          </w:tcPr>
          <w:p>
            <w:pPr>
              <w:spacing w:after="0"/>
              <w:rPr>
                <w:sz w:val="5"/>
                <w:szCs w:val="5"/>
                <w:color w:val="auto"/>
              </w:rPr>
            </w:pPr>
          </w:p>
        </w:tc>
        <w:tc>
          <w:tcPr>
            <w:tcW w:w="534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17"/>
                <w:szCs w:val="17"/>
                <w:color w:val="auto"/>
              </w:rPr>
            </w:pPr>
          </w:p>
        </w:tc>
        <w:tc>
          <w:tcPr>
            <w:tcW w:w="73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Registration Rights Agreement, dated as of July 14, 2025, by and between the Company and B. Riley</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4"/>
            <w:vMerge w:val="restart"/>
          </w:tcPr>
          <w:p>
            <w:pPr>
              <w:spacing w:after="0" w:line="196" w:lineRule="exact"/>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Principal Capital II, LLC.</w:t>
              </w:r>
            </w:hyperlink>
          </w:p>
        </w:tc>
        <w:tc>
          <w:tcPr>
            <w:tcW w:w="5780" w:type="dxa"/>
            <w:vAlign w:val="bottom"/>
            <w:gridSpan w:val="2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60" w:type="dxa"/>
            <w:vAlign w:val="bottom"/>
            <w:tcBorders>
              <w:bottom w:val="single" w:sz="8" w:color="0000FF"/>
            </w:tcBorders>
            <w:gridSpan w:val="4"/>
            <w:vMerge w:val="continue"/>
          </w:tcPr>
          <w:p>
            <w:pPr>
              <w:spacing w:after="0"/>
              <w:rPr>
                <w:sz w:val="5"/>
                <w:szCs w:val="5"/>
                <w:color w:val="auto"/>
              </w:rPr>
            </w:pPr>
          </w:p>
        </w:tc>
        <w:tc>
          <w:tcPr>
            <w:tcW w:w="5780" w:type="dxa"/>
            <w:vAlign w:val="bottom"/>
            <w:gridSpan w:val="2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17"/>
                <w:szCs w:val="17"/>
                <w:color w:val="auto"/>
              </w:rPr>
            </w:pPr>
          </w:p>
        </w:tc>
        <w:tc>
          <w:tcPr>
            <w:tcW w:w="76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Sales Partner Referral Agreement, dated as of June 30, 2025, by and between the Company and Burkhan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vMerge w:val="restart"/>
          </w:tcPr>
          <w:p>
            <w:pPr>
              <w:spacing w:after="0" w:line="196" w:lineRule="exact"/>
              <w:rPr>
                <w:rFonts w:ascii="Times New Roman" w:cs="Times New Roman" w:eastAsia="Times New Roman" w:hAnsi="Times New Roman"/>
                <w:sz w:val="18"/>
                <w:szCs w:val="18"/>
                <w:color w:val="0000FF"/>
                <w:w w:val="98"/>
              </w:rPr>
            </w:pPr>
            <w:hyperlink r:id="rId389">
              <w:r>
                <w:rPr>
                  <w:rFonts w:ascii="Times New Roman" w:cs="Times New Roman" w:eastAsia="Times New Roman" w:hAnsi="Times New Roman"/>
                  <w:sz w:val="18"/>
                  <w:szCs w:val="18"/>
                  <w:color w:val="0000FF"/>
                  <w:w w:val="98"/>
                </w:rPr>
                <w:t>LLC.</w:t>
              </w:r>
            </w:hyperlink>
          </w:p>
        </w:tc>
        <w:tc>
          <w:tcPr>
            <w:tcW w:w="7240" w:type="dxa"/>
            <w:vAlign w:val="bottom"/>
            <w:gridSpan w:val="29"/>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0000FF"/>
            </w:tcBorders>
            <w:vMerge w:val="continue"/>
          </w:tcPr>
          <w:p>
            <w:pPr>
              <w:spacing w:after="0"/>
              <w:rPr>
                <w:sz w:val="5"/>
                <w:szCs w:val="5"/>
                <w:color w:val="auto"/>
              </w:rPr>
            </w:pPr>
          </w:p>
        </w:tc>
        <w:tc>
          <w:tcPr>
            <w:tcW w:w="7240" w:type="dxa"/>
            <w:vAlign w:val="bottom"/>
            <w:gridSpan w:val="2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7"/>
                <w:szCs w:val="17"/>
                <w:color w:val="auto"/>
              </w:rPr>
            </w:pPr>
          </w:p>
        </w:tc>
        <w:tc>
          <w:tcPr>
            <w:tcW w:w="702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w:t>
            </w:r>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 as Adopted Pursuant to Section 302 of the Sarbanes-Oxley Act of 2002.</w:t>
            </w: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tcBorders>
              <w:bottom w:val="single" w:sz="8" w:color="0000FF"/>
            </w:tcBorders>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7"/>
                <w:szCs w:val="17"/>
                <w:color w:val="auto"/>
              </w:rPr>
            </w:pPr>
          </w:p>
        </w:tc>
        <w:tc>
          <w:tcPr>
            <w:tcW w:w="69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w:t>
            </w:r>
          </w:p>
        </w:tc>
        <w:tc>
          <w:tcPr>
            <w:tcW w:w="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 as Adopted Pursuant to Section 302 of the Sarbanes-Oxley Act of 2002.</w:t>
            </w: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tcBorders>
              <w:bottom w:val="single" w:sz="8" w:color="0000FF"/>
            </w:tcBorders>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32.1#**</w:t>
            </w:r>
          </w:p>
        </w:tc>
        <w:tc>
          <w:tcPr>
            <w:tcW w:w="120" w:type="dxa"/>
            <w:vAlign w:val="bottom"/>
          </w:tcPr>
          <w:p>
            <w:pPr>
              <w:spacing w:after="0"/>
              <w:rPr>
                <w:sz w:val="17"/>
                <w:szCs w:val="17"/>
                <w:color w:val="auto"/>
              </w:rPr>
            </w:pPr>
          </w:p>
        </w:tc>
        <w:tc>
          <w:tcPr>
            <w:tcW w:w="754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w:t>
            </w: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80" w:type="dxa"/>
            <w:vAlign w:val="bottom"/>
            <w:gridSpan w:val="1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160" w:type="dxa"/>
            <w:vAlign w:val="bottom"/>
            <w:gridSpan w:val="1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80" w:type="dxa"/>
            <w:vAlign w:val="bottom"/>
            <w:tcBorders>
              <w:bottom w:val="single" w:sz="8" w:color="0000FF"/>
            </w:tcBorders>
            <w:gridSpan w:val="12"/>
            <w:vMerge w:val="continue"/>
          </w:tcPr>
          <w:p>
            <w:pPr>
              <w:spacing w:after="0"/>
              <w:rPr>
                <w:sz w:val="5"/>
                <w:szCs w:val="5"/>
                <w:color w:val="auto"/>
              </w:rPr>
            </w:pPr>
          </w:p>
        </w:tc>
        <w:tc>
          <w:tcPr>
            <w:tcW w:w="416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32.2#**</w:t>
            </w:r>
          </w:p>
        </w:tc>
        <w:tc>
          <w:tcPr>
            <w:tcW w:w="120" w:type="dxa"/>
            <w:vAlign w:val="bottom"/>
          </w:tcPr>
          <w:p>
            <w:pPr>
              <w:spacing w:after="0"/>
              <w:rPr>
                <w:sz w:val="17"/>
                <w:szCs w:val="17"/>
                <w:color w:val="auto"/>
              </w:rPr>
            </w:pPr>
          </w:p>
        </w:tc>
        <w:tc>
          <w:tcPr>
            <w:tcW w:w="750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w:t>
            </w: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11"/>
            <w:shd w:val="clear" w:color="auto" w:fill="0000FF"/>
          </w:tcPr>
          <w:p>
            <w:pPr>
              <w:spacing w:after="0" w:line="20" w:lineRule="exact"/>
              <w:rPr>
                <w:sz w:val="1"/>
                <w:szCs w:val="1"/>
                <w:color w:val="auto"/>
              </w:rPr>
            </w:pPr>
          </w:p>
        </w:tc>
        <w:tc>
          <w:tcPr>
            <w:tcW w:w="418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18"/>
                <w:szCs w:val="18"/>
                <w:color w:val="auto"/>
              </w:rPr>
            </w:pPr>
          </w:p>
        </w:tc>
        <w:tc>
          <w:tcPr>
            <w:tcW w:w="76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126"/>
        </w:trPr>
        <w:tc>
          <w:tcPr>
            <w:tcW w:w="8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40" w:type="dxa"/>
            <w:vAlign w:val="bottom"/>
            <w:gridSpan w:val="30"/>
            <w:vMerge w:val="restart"/>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 XBRL document.</w:t>
            </w:r>
          </w:p>
        </w:tc>
        <w:tc>
          <w:tcPr>
            <w:tcW w:w="0" w:type="dxa"/>
            <w:vAlign w:val="bottom"/>
          </w:tcPr>
          <w:p>
            <w:pPr>
              <w:spacing w:after="0"/>
              <w:rPr>
                <w:sz w:val="1"/>
                <w:szCs w:val="1"/>
                <w:color w:val="auto"/>
              </w:rPr>
            </w:pPr>
          </w:p>
        </w:tc>
      </w:tr>
      <w:tr>
        <w:trPr>
          <w:trHeight w:val="90"/>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40" w:type="dxa"/>
            <w:vAlign w:val="bottom"/>
            <w:gridSpan w:val="3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18"/>
                <w:szCs w:val="18"/>
                <w:color w:val="auto"/>
              </w:rPr>
            </w:pPr>
          </w:p>
        </w:tc>
        <w:tc>
          <w:tcPr>
            <w:tcW w:w="76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20"/>
                <w:szCs w:val="20"/>
                <w:color w:val="auto"/>
              </w:rPr>
            </w:pPr>
          </w:p>
        </w:tc>
        <w:tc>
          <w:tcPr>
            <w:tcW w:w="76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-4937125</wp:posOffset>
            </wp:positionV>
            <wp:extent cx="7132320" cy="2743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-4251325</wp:posOffset>
            </wp:positionV>
            <wp:extent cx="713232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132320" cy="2743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7132320" cy="2743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2743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274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2743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2743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-5222875</wp:posOffset>
            </wp:positionV>
            <wp:extent cx="7132320" cy="148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7132320"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09"/>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23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2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540"/>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1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23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1/8/2025</w:t>
            </w:r>
          </w:p>
        </w:tc>
        <w:tc>
          <w:tcPr>
            <w:tcW w:w="0" w:type="dxa"/>
            <w:vAlign w:val="bottom"/>
          </w:tcPr>
          <w:p>
            <w:pPr>
              <w:spacing w:after="0"/>
              <w:rPr>
                <w:sz w:val="1"/>
                <w:szCs w:val="1"/>
                <w:color w:val="auto"/>
              </w:rPr>
            </w:pPr>
          </w:p>
        </w:tc>
      </w:tr>
      <w:tr>
        <w:trPr>
          <w:trHeight w:val="32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10.14</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2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10.7</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5/14/2025</w:t>
            </w:r>
          </w:p>
        </w:tc>
        <w:tc>
          <w:tcPr>
            <w:tcW w:w="0" w:type="dxa"/>
            <w:vAlign w:val="bottom"/>
          </w:tcPr>
          <w:p>
            <w:pPr>
              <w:spacing w:after="0"/>
              <w:rPr>
                <w:sz w:val="1"/>
                <w:szCs w:val="1"/>
                <w:color w:val="auto"/>
              </w:rPr>
            </w:pPr>
          </w:p>
        </w:tc>
      </w:tr>
      <w:tr>
        <w:trPr>
          <w:trHeight w:val="32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7/15/2025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7/15/2025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6/30/2025</w:t>
            </w:r>
          </w:p>
        </w:tc>
        <w:tc>
          <w:tcPr>
            <w:tcW w:w="0" w:type="dxa"/>
            <w:vAlign w:val="bottom"/>
          </w:tcPr>
          <w:p>
            <w:pPr>
              <w:spacing w:after="0"/>
              <w:rPr>
                <w:sz w:val="1"/>
                <w:szCs w:val="1"/>
                <w:color w:val="auto"/>
              </w:rPr>
            </w:pPr>
          </w:p>
        </w:tc>
      </w:tr>
    </w:tbl>
    <w:p>
      <w:pPr>
        <w:spacing w:after="0" w:line="2730" w:lineRule="exact"/>
        <w:rPr>
          <w:sz w:val="20"/>
          <w:szCs w:val="20"/>
          <w:color w:val="auto"/>
        </w:rPr>
      </w:pPr>
    </w:p>
    <w:p>
      <w:pPr>
        <w:sectPr>
          <w:pgSz w:w="11900" w:h="16838" w:orient="portrait"/>
          <w:cols w:equalWidth="0" w:num="2">
            <w:col w:w="8560" w:space="120"/>
            <w:col w:w="2560"/>
          </w:cols>
          <w:pgMar w:left="320" w:top="1224" w:right="339" w:bottom="1440" w:gutter="0" w:footer="0" w:header="0"/>
        </w:sectPr>
      </w:pPr>
    </w:p>
    <w:p>
      <w:pPr>
        <w:ind w:left="300" w:hanging="292"/>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2" w:lineRule="exact"/>
        <w:rPr>
          <w:sz w:val="20"/>
          <w:szCs w:val="20"/>
          <w:color w:val="auto"/>
        </w:rPr>
      </w:pPr>
    </w:p>
    <w:p>
      <w:pPr>
        <w:ind w:left="300" w:hanging="292"/>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42" w:lineRule="exact"/>
        <w:rPr>
          <w:sz w:val="20"/>
          <w:szCs w:val="20"/>
          <w:color w:val="auto"/>
        </w:rPr>
      </w:pPr>
    </w:p>
    <w:p>
      <w:pPr>
        <w:ind w:left="300" w:hanging="292"/>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42" w:lineRule="exact"/>
        <w:rPr>
          <w:sz w:val="20"/>
          <w:szCs w:val="20"/>
          <w:color w:val="auto"/>
        </w:rPr>
      </w:pPr>
    </w:p>
    <w:p>
      <w:pPr>
        <w:ind w:left="380" w:hanging="372"/>
        <w:spacing w:after="0" w:line="236" w:lineRule="auto"/>
        <w:tabs>
          <w:tab w:leader="none" w:pos="26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Annual Report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3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Quarterly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82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Dinakar Munagala</w:t>
            </w:r>
          </w:p>
        </w:tc>
      </w:tr>
      <w:tr>
        <w:trPr>
          <w:trHeight w:val="191"/>
        </w:trPr>
        <w:tc>
          <w:tcPr>
            <w:tcW w:w="3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16"/>
        </w:trPr>
        <w:tc>
          <w:tcPr>
            <w:tcW w:w="3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Duly Authorized Officer)</w:t>
            </w:r>
          </w:p>
        </w:tc>
      </w:tr>
      <w:tr>
        <w:trPr>
          <w:trHeight w:val="54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82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Harminder Sehmi</w:t>
            </w:r>
          </w:p>
        </w:tc>
      </w:tr>
      <w:tr>
        <w:trPr>
          <w:trHeight w:val="191"/>
        </w:trPr>
        <w:tc>
          <w:tcPr>
            <w:tcW w:w="3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Harminder Sehmi</w:t>
            </w:r>
          </w:p>
        </w:tc>
      </w:tr>
      <w:tr>
        <w:trPr>
          <w:trHeight w:val="216"/>
        </w:trPr>
        <w:tc>
          <w:tcPr>
            <w:tcW w:w="3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tc>
      </w:tr>
      <w:tr>
        <w:trPr>
          <w:trHeight w:val="1438"/>
        </w:trPr>
        <w:tc>
          <w:tcPr>
            <w:tcW w:w="30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375" Type="http://schemas.openxmlformats.org/officeDocument/2006/relationships/hyperlink" Target="https://www.sec.gov/Archives/edgar/data/1871638/000119312525008517/d903961dex31.htm" TargetMode="External"/><Relationship Id="rId376" Type="http://schemas.openxmlformats.org/officeDocument/2006/relationships/hyperlink" Target="https://www.sec.gov/Archives/edgar/data/1871638/000119312525008517/d903961dex32.htm" TargetMode="External"/><Relationship Id="rId377" Type="http://schemas.openxmlformats.org/officeDocument/2006/relationships/hyperlink" Target="https://www.sec.gov/Archives/edgar/data/1871638/000119312525008517/d903961dex1011.htm" TargetMode="External"/><Relationship Id="rId378" Type="http://schemas.openxmlformats.org/officeDocument/2006/relationships/hyperlink" Target="https://www.sec.gov/Archives/edgar/data/1871638/000119312525008517/d903961dex101.htm" TargetMode="External"/><Relationship Id="rId379" Type="http://schemas.openxmlformats.org/officeDocument/2006/relationships/hyperlink" Target="https://www.sec.gov/Archives/edgar/data/1871638/000119312525008517/d903961dex103.htm" TargetMode="External"/><Relationship Id="rId380" Type="http://schemas.openxmlformats.org/officeDocument/2006/relationships/hyperlink" Target="https://www.sec.gov/Archives/edgar/data/1871638/000110465925001763/tm252173d1_ex10-1.htm" TargetMode="External"/><Relationship Id="rId381" Type="http://schemas.openxmlformats.org/officeDocument/2006/relationships/hyperlink" Target="https://www.sec.gov/Archives/edgar/data/1871638/000119312525008517/d903961dex1012.htm" TargetMode="External"/><Relationship Id="rId382" Type="http://schemas.openxmlformats.org/officeDocument/2006/relationships/hyperlink" Target="https://www.sec.gov/Archives/edgar/data/1871638/000119312525008517/d903961dex1013.htm" TargetMode="External"/><Relationship Id="rId383" Type="http://schemas.openxmlformats.org/officeDocument/2006/relationships/hyperlink" Target="https://www.sec.gov/Archives/edgar/data/1871638/000119312525008517/d903961dex1014.htm" TargetMode="External"/><Relationship Id="rId384" Type="http://schemas.openxmlformats.org/officeDocument/2006/relationships/hyperlink" Target="https://www.sec.gov/Archives/edgar/data/1871638/000119312525008517/d903961dex1015.htm" TargetMode="External"/><Relationship Id="rId385" Type="http://schemas.openxmlformats.org/officeDocument/2006/relationships/hyperlink" Target="https://www.sec.gov/Archives/edgar/data/1871638/000119312525008517/d903961dex1021.htm" TargetMode="External"/><Relationship Id="rId386" Type="http://schemas.openxmlformats.org/officeDocument/2006/relationships/hyperlink" Target="https://www.sec.gov/Archives/edgar/data/1871638/000119312525008517/d903961dex1022.htm" TargetMode="External"/><Relationship Id="rId387" Type="http://schemas.openxmlformats.org/officeDocument/2006/relationships/hyperlink" Target="https://www.sec.gov/Archives/edgar/data/1871638/000119312525158997/d13627dex101.htm" TargetMode="External"/><Relationship Id="rId388" Type="http://schemas.openxmlformats.org/officeDocument/2006/relationships/hyperlink" Target="https://www.sec.gov/Archives/edgar/data/1871638/000119312525158997/d13627dex102.htm" TargetMode="External"/><Relationship Id="rId389" Type="http://schemas.openxmlformats.org/officeDocument/2006/relationships/hyperlink" Target="https://www.sec.gov/Archives/edgar/data/1871638/000119312525152119/d86863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2025-08-19T05:37:32Z</dcterms:created>
  <dcterms:modified xsi:type="dcterms:W3CDTF">2025-08-19T05:37:32Z</dcterms:modified>
</cp:coreProperties>
</file>