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Blaize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0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001-41139</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8"/>
                <w:szCs w:val="18"/>
                <w:b w:val="1"/>
                <w:bCs w:val="1"/>
                <w:color w:val="auto"/>
                <w:w w:val="98"/>
              </w:rPr>
              <w:t>86-2708752</w:t>
            </w:r>
          </w:p>
        </w:tc>
      </w:tr>
      <w:tr>
        <w:trPr>
          <w:trHeight w:val="148"/>
        </w:trPr>
        <w:tc>
          <w:tcPr>
            <w:tcW w:w="3600" w:type="dxa"/>
            <w:vAlign w:val="bottom"/>
          </w:tcPr>
          <w:p>
            <w:pPr>
              <w:jc w:val="center"/>
              <w:ind w:right="18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0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4659 Golden Foothill Parkway, Suite 206</w:t>
            </w:r>
          </w:p>
        </w:tc>
        <w:tc>
          <w:tcPr>
            <w:tcW w:w="29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7"/>
        </w:trPr>
        <w:tc>
          <w:tcPr>
            <w:tcW w:w="360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El Dorado Hills, California</w:t>
            </w:r>
          </w:p>
        </w:tc>
        <w:tc>
          <w:tcPr>
            <w:tcW w:w="2900" w:type="dxa"/>
            <w:vAlign w:val="bottom"/>
          </w:tcPr>
          <w:p>
            <w:pPr>
              <w:spacing w:after="0"/>
              <w:rPr>
                <w:sz w:val="19"/>
                <w:szCs w:val="19"/>
                <w:color w:val="auto"/>
              </w:rPr>
            </w:pPr>
          </w:p>
        </w:tc>
        <w:tc>
          <w:tcPr>
            <w:tcW w:w="228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95762</w:t>
            </w:r>
          </w:p>
        </w:tc>
      </w:tr>
      <w:tr>
        <w:trPr>
          <w:trHeight w:val="190"/>
        </w:trPr>
        <w:tc>
          <w:tcPr>
            <w:tcW w:w="36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spacing w:after="0"/>
              <w:rPr>
                <w:sz w:val="16"/>
                <w:szCs w:val="16"/>
                <w:color w:val="auto"/>
              </w:rPr>
            </w:pPr>
          </w:p>
        </w:tc>
        <w:tc>
          <w:tcPr>
            <w:tcW w:w="2280" w:type="dxa"/>
            <w:vAlign w:val="bottom"/>
          </w:tcPr>
          <w:p>
            <w:pPr>
              <w:jc w:val="center"/>
              <w:ind w:righ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3600" w:type="dxa"/>
            <w:vAlign w:val="bottom"/>
          </w:tcPr>
          <w:p>
            <w:pPr>
              <w:spacing w:after="0"/>
              <w:rPr>
                <w:sz w:val="24"/>
                <w:szCs w:val="24"/>
                <w:color w:val="auto"/>
              </w:rPr>
            </w:pPr>
          </w:p>
        </w:tc>
        <w:tc>
          <w:tcPr>
            <w:tcW w:w="290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(916) 347-0050</w:t>
            </w:r>
          </w:p>
        </w:tc>
        <w:tc>
          <w:tcPr>
            <w:tcW w:w="2280" w:type="dxa"/>
            <w:vAlign w:val="bottom"/>
          </w:tcPr>
          <w:p>
            <w:pPr>
              <w:spacing w:after="0"/>
              <w:rPr>
                <w:sz w:val="24"/>
                <w:szCs w:val="24"/>
                <w:color w:val="auto"/>
              </w:rPr>
            </w:pPr>
          </w:p>
        </w:tc>
      </w:tr>
      <w:tr>
        <w:trPr>
          <w:trHeight w:val="190"/>
        </w:trPr>
        <w:tc>
          <w:tcPr>
            <w:tcW w:w="6500" w:type="dxa"/>
            <w:vAlign w:val="bottom"/>
            <w:gridSpan w:val="2"/>
          </w:tcPr>
          <w:p>
            <w:pPr>
              <w:jc w:val="center"/>
              <w:ind w:left="2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152400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BZAI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BZAIW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March 27, 2025, Blaize Holdings, Inc. (“Blaize”) issued a press release announcing its results of operations for the fiscal year ended December 31, 2024. A copy of the press release is attached hereto as Exhibit 99.1.</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provided pursuant to this Item 2.02 and in Exhibit 99.1 and Exhibit 99.2 is being “furnished” herewith and shall not be deemed to be “filed” for purposes of Section 18 of the Securities Exchange Act of 1934, as amended (the “Exchange Act”), or otherwise subject to the liabilities of that section, nor shall it be deemed incorporated by reference in any filing made by Core &amp; Main under the Exchange Act or the Securities Act of 1933, as amended, regardless of any general incorporation language in such filings, except as shall be expressly set forth by specific reference in any such filings.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Earnings Press Release, dated March 27, 2025.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20"/>
          </w:cols>
          <w:pgMar w:left="440" w:top="293"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Blaize Holdings,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Dinakar Munagala</w:t>
            </w:r>
          </w:p>
        </w:tc>
      </w:tr>
      <w:tr>
        <w:trPr>
          <w:trHeight w:val="205"/>
        </w:trPr>
        <w:tc>
          <w:tcPr>
            <w:tcW w:w="3540" w:type="dxa"/>
            <w:vAlign w:val="bottom"/>
          </w:tcPr>
          <w:p>
            <w:pPr>
              <w:spacing w:after="0"/>
              <w:rPr>
                <w:sz w:val="17"/>
                <w:szCs w:val="17"/>
                <w:color w:val="auto"/>
              </w:rPr>
            </w:pPr>
          </w:p>
        </w:tc>
        <w:tc>
          <w:tcPr>
            <w:tcW w:w="2620" w:type="dxa"/>
            <w:vAlign w:val="bottom"/>
          </w:tcPr>
          <w:p>
            <w:pPr>
              <w:ind w:left="19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Dinakar Munagala</w:t>
            </w:r>
          </w:p>
        </w:tc>
      </w:tr>
      <w:tr>
        <w:trPr>
          <w:trHeight w:val="234"/>
        </w:trPr>
        <w:tc>
          <w:tcPr>
            <w:tcW w:w="35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19685</wp:posOffset>
            </wp:positionV>
            <wp:extent cx="2665730" cy="908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573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Blaize Announces Fiscal Year 2024 Financial Results</w:t>
      </w:r>
    </w:p>
    <w:p>
      <w:pPr>
        <w:spacing w:after="0" w:line="256"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Blaize solutions optimized for low-power AI processing for smart computing at the edge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Fueled by rising demand in existing beachhead sectors, as well as newly emerging use cases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acceleration of revenue driven by established and growing pipeline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EL DORADO HILLS, Calif.—(BUSINESS WIRE)—March 27, 2025—Blaize Holdings, Inc. (NASDAQ:BZAI) (“Blaize”), a provider of purpose-built, transformative artificial intelligence (AI)-enabled edge computing solutions that unite software and silicon to optimize AI from the edge to the core, has released its financial results for the fiscal year ending December 31, 2024.</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Blaize CEO Dinakar Munagala said, “Having successfully concluded the Company’s business combination with BurTech Acquisition Corp. in January 2025, Blaize has seen continued interest in our AI-edge compute solutions from multiple parties in the Smart Cities, defense, and automotive industries. As we continue to focus on our go-to-market strategy and the overall market’s growing demand for AI at the edge, Blaize is well-positioned to expand our customer footprint.”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compare the year ended December 31, 2024 to the year ended December 31, 2023:</w:t>
      </w:r>
    </w:p>
    <w:p>
      <w:pPr>
        <w:spacing w:after="0" w:line="131" w:lineRule="exact"/>
        <w:rPr>
          <w:sz w:val="20"/>
          <w:szCs w:val="20"/>
          <w:color w:val="auto"/>
        </w:rPr>
      </w:pPr>
    </w:p>
    <w:p>
      <w:pPr>
        <w:ind w:left="960" w:right="2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for fiscal year 2024 decreased to $1.6 million from $3.9 million in the prior year. In both years, the revenues primarily reflected the recognition of strategic consulting fees received from a major European automotive OEM as part of a multi-year and multi-vendor program. Phase I was largely completed during 2024 which accounts for the decrease.</w:t>
      </w:r>
    </w:p>
    <w:p>
      <w:pPr>
        <w:spacing w:after="0" w:line="81"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fiscal year 2024 was $61.2 million, a 30% decrease from net loss of $87.6 million in the prior year. Included in 2024 were financing charges and fair value adjustments of $14.5 million related to convertible notes and warrant liabilities compared to $49.7 million for the prior year, which included a non-recurring Pay-to-Play equity financing charge.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a non-GAAP measure of operating performance, reconciled to net loss below, for fiscal year 2024 was</w:t>
      </w:r>
    </w:p>
    <w:p>
      <w:pPr>
        <w:spacing w:after="0" w:line="27" w:lineRule="exact"/>
        <w:rPr>
          <w:rFonts w:ascii="Times New Roman" w:cs="Times New Roman" w:eastAsia="Times New Roman" w:hAnsi="Times New Roman"/>
          <w:sz w:val="18"/>
          <w:szCs w:val="18"/>
          <w:color w:val="auto"/>
        </w:rPr>
      </w:pPr>
    </w:p>
    <w:p>
      <w:pPr>
        <w:ind w:left="96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$43.3 million, compared to $30.3 million for fiscal year 2023. For a reconciliation of Adjusted EBITDA to net loss, the most directly comparable GAAP financial metric, see “Non-GAAP Financial Measures” below.</w:t>
      </w:r>
    </w:p>
    <w:p>
      <w:pPr>
        <w:spacing w:after="0" w:line="8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Blaize’s cash and cash equivalents were $50.2 million.</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Recent Business Announcements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pipeline continues to expand, driven by strong and accelerating market interest in AI at the edge, and ongoing engagement with high-quality prospective customers across key sectors, including, but not limited to, Smart Cities, defense, and the automotive industry.</w:t>
      </w:r>
    </w:p>
    <w:p>
      <w:pPr>
        <w:spacing w:after="0" w:line="67" w:lineRule="exact"/>
        <w:rPr>
          <w:sz w:val="20"/>
          <w:szCs w:val="20"/>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technology agreement with KAIST to produce new edge AI computing applications across biomedical, neuromorphic, photovoltaics, thermoelectrics and green hydrogen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alwaysAI to revolutionize real-time insights with AI Edge Computing and advanced computer vision applications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VSBLTY to develop new AI-enabled hybrid technology for large-scale global safety and security solutions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with Turbo Federal to procure contracts to accelerate AI solutions for the U.S. Department of Defense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forward-looking statements are based on current expectations, and actual results may differ materially, as described below in “Cautionary Statement Regarding Forward-Looking Statements.”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4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Q1 2025 Guidance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2025 Guidance</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$0.9 million</w:t>
            </w:r>
          </w:p>
        </w:tc>
        <w:tc>
          <w:tcPr>
            <w:tcW w:w="5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 million - $50 million</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Loss (non- GAAP)</w:t>
            </w:r>
          </w:p>
        </w:tc>
        <w:tc>
          <w:tcPr>
            <w:tcW w:w="2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$15 million - $16 million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 million - $75 million</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0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8"/>
                <w:szCs w:val="18"/>
                <w:color w:val="auto"/>
                <w:w w:val="99"/>
              </w:rPr>
              <w:t>$7.7 million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million</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90 million</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 million</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Dinakar Munagala, Chief Executive Officer of Blaize, and Harminder Sehmi, Chief Financial Officer of Blaize, will host a conference call at 2:00 p.m. Pacific Time today, March 27, 2025, to discuss the Company’s financial results and outlook. A live webcast will be accessible on Blaize’s investor relations website at ir.blaize.com, and an archived conference call webcast will be available on Blaize’s investor relations website for one year following the live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-173990</wp:posOffset>
            </wp:positionV>
            <wp:extent cx="618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Blaize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 To learn more, visit www.blaize.com or follow us on LinkedIn and on X at @blaizeinc.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to providing results that are determined in accordance with accounting principles generally accepted in the United States of America (“GAAP”), we present Adjusted EBITDA, which is a non-GAAP financial measure. This measure is not considered a measure of financial performance or liquidity under GAAP and the items excluded therefrom are significant components in understanding and assessing our financial performance or liquidity. This measure should not be considered in isolation or as an alternative to GAAP measures such as net income (loss) or other financial statement data presented in our financial statements as an indicator of our financial performance or liquidity.</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as further adjusted for certain items management believes are not reflective of the underlying operations of our business, including but not limited to (a) stock-based compensation; (b) non-recurring inventory cost realignments; and (c) other non-recurring charges. Net loss is the most directly comparable GAAP measure to Adjusted EBITDA.</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Adjusted EBITDA to assess the operating results and effectiveness and efficiency of our business. We present this non-GAAP financial measure because we believe that investors consider it to be an important supplemental measure of performance, and we believe that this measure is frequently used by securities analysts, investors and other interested parties in the evaluation of companies in our industry. Non-GAAP financial measures as reported by us may not be comparable to similarly titled metrics reported by other companies and may not be calculated in the same manner. These measures have limitations as analytical tools, and you should not consider them in isolation or as substitutes for analysis of our results as reported under GAAP.</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reliance on the exception provided by Item 10(e)(1)(i)(B) of Regulation S-K, we have not reconciled the forward-looking Adjusted EBITDA (Non-GAAP) for the first quarter of 2025 or full fiscal year 2025 included above because we are unable to quantify certain amounts that would be required to be included in net income (loss), the most directly comparable GAAP measure, without unreasonable efforts due to the high variability and difficulty in predicting, with reasonable certainty, certain items excluded from Adjusted EBITDA. Consequently, we believe such reconciliation would imply a degree of precision that would be misleading to investors. Preparation of such reconciliations would require a forward-looking balance sheet, statement of income and statement of cash flow, prepared in</w:t>
      </w:r>
    </w:p>
    <w:p>
      <w:pPr>
        <w:sectPr>
          <w:pgSz w:w="11900" w:h="16838" w:orient="portrait"/>
          <w:cols w:equalWidth="0" w:num="1">
            <w:col w:w="10960"/>
          </w:cols>
          <w:pgMar w:left="440" w:top="266" w:right="499" w:bottom="1440" w:gutter="0" w:footer="0" w:header="0"/>
        </w:sectPr>
      </w:pPr>
    </w:p>
    <w:bookmarkStart w:id="6" w:name="page7"/>
    <w:bookmarkEnd w:id="6"/>
    <w:p>
      <w:pPr>
        <w:jc w:val="both"/>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accordance with GAAP, and such forward-looking financial statements are unavailable to Blaize without unreasonable effort. For the same reasons, Blaize is unable to address the probable significance of the unavailable information. We expect the variability of these excluded items may have an unpredictable, and potentially significant, impact on our future GAAP financial results.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sets forth a reconciliation of net loss to Adjusted EBITDA for the periods presented:</w:t>
      </w:r>
    </w:p>
    <w:p>
      <w:pPr>
        <w:spacing w:after="0" w:line="248" w:lineRule="exact"/>
        <w:rPr>
          <w:sz w:val="20"/>
          <w:szCs w:val="20"/>
          <w:color w:val="auto"/>
        </w:rPr>
      </w:pPr>
    </w:p>
    <w:tbl>
      <w:tblPr>
        <w:tblLayout w:type="fixed"/>
        <w:tblInd w:w="1324" w:type="dxa"/>
        <w:tblCellMar>
          <w:top w:w="0" w:type="dxa"/>
          <w:left w:w="0" w:type="dxa"/>
          <w:bottom w:w="0" w:type="dxa"/>
          <w:right w:w="0" w:type="dxa"/>
        </w:tblCellMar>
      </w:tblPr>
      <w:tr>
        <w:trPr>
          <w:trHeight w:val="178"/>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70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8"/>
        </w:trPr>
        <w:tc>
          <w:tcPr>
            <w:tcW w:w="1240" w:type="dxa"/>
            <w:vAlign w:val="bottom"/>
            <w:tcBorders>
              <w:top w:val="single" w:sz="8" w:color="auto"/>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66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Other expenses </w:t>
            </w:r>
            <w:r>
              <w:rPr>
                <w:rFonts w:ascii="Times New Roman" w:cs="Times New Roman" w:eastAsia="Times New Roman" w:hAnsi="Times New Roman"/>
                <w:sz w:val="25"/>
                <w:szCs w:val="25"/>
                <w:color w:val="auto"/>
                <w:vertAlign w:val="superscript"/>
              </w:rPr>
              <w:t>(1)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49,659</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(46,749)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(36,488)</w:t>
            </w: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3,847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cash inventory cost realignment adjustments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3,681</w:t>
            </w: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(43,256)</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(30,324)</w:t>
            </w:r>
          </w:p>
        </w:tc>
      </w:tr>
    </w:tbl>
    <w:p>
      <w:pPr>
        <w:spacing w:after="0" w:line="85" w:lineRule="exact"/>
        <w:rPr>
          <w:sz w:val="20"/>
          <w:szCs w:val="20"/>
          <w:color w:val="auto"/>
        </w:rPr>
      </w:pPr>
    </w:p>
    <w:p>
      <w:pPr>
        <w:ind w:left="424" w:right="36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but not limited to interest receivable/payable, financing charges, gains/losses on foreign exchanges and movements in fair value of convertible notes and warrants.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121"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w:t>
      </w:r>
    </w:p>
    <w:p>
      <w:pPr>
        <w:sectPr>
          <w:pgSz w:w="11900" w:h="16838" w:orient="portrait"/>
          <w:cols w:equalWidth="0" w:num="1">
            <w:col w:w="10844"/>
          </w:cols>
          <w:pgMar w:left="436" w:top="270" w:right="619" w:bottom="1440" w:gutter="0" w:footer="0" w:header="0"/>
        </w:sectPr>
      </w:pPr>
    </w:p>
    <w:bookmarkStart w:id="7" w:name="page8"/>
    <w:bookmarkEnd w:id="7"/>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the forward-looking statements in this document, including but not limited to: (i) changes in domestic and foreign business, market, financial, political and legal conditions; (ii) the expected benefits of Blaize’s business combination with BurTech Acquisition Corp. (the “Business Combination”) are not obtained; (iii) the ability to continue to meet stock exchange listing standards following the consummation of the Business Combination; (iv) the risk that the Business Combination disrupts current plans and operations of Blaize as a result of the consummation of the Business Combination;</w:t>
      </w:r>
    </w:p>
    <w:p>
      <w:pPr>
        <w:spacing w:after="0" w:line="3" w:lineRule="exact"/>
        <w:rPr>
          <w:sz w:val="20"/>
          <w:szCs w:val="20"/>
          <w:color w:val="auto"/>
        </w:rPr>
      </w:pPr>
    </w:p>
    <w:p>
      <w:pPr>
        <w:ind w:left="4" w:hanging="4"/>
        <w:spacing w:after="0" w:line="267" w:lineRule="auto"/>
        <w:tabs>
          <w:tab w:leader="none" w:pos="25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our Registration Statement on Form S-1/A filed with the Securities and Exchange Commission (SEC) on February 10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pacing w:after="0" w:line="180"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ectPr>
          <w:pgSz w:w="11900" w:h="16838" w:orient="portrait"/>
          <w:cols w:equalWidth="0" w:num="1">
            <w:col w:w="11004"/>
          </w:cols>
          <w:pgMar w:left="436"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View source version on businesswire.com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ir@blaize.com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Leo Merle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info@blaize.com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Blaize Holdings, Inc.</w:t>
      </w:r>
    </w:p>
    <w:p>
      <w:pPr>
        <w:sectPr>
          <w:pgSz w:w="11900" w:h="16838" w:orient="portrait"/>
          <w:cols w:equalWidth="0" w:num="1">
            <w:col w:w="10019"/>
          </w:cols>
          <w:pgMar w:left="440" w:top="270" w:right="1440"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Blaize,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541"/>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9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3,213</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6,522</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2,836</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73,690</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1,555</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2,423</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w:t>
            </w:r>
          </w:p>
        </w:tc>
      </w:tr>
      <w:tr>
        <w:trPr>
          <w:trHeight w:val="27"/>
        </w:trPr>
        <w:tc>
          <w:tcPr>
            <w:tcW w:w="9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redeemable convertible preferred stock and stockholders’ deficit:</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Demand notes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14,925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7,464</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1,938</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liabilities, current portion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14,641</w:t>
            </w:r>
          </w:p>
        </w:tc>
      </w:tr>
      <w:tr>
        <w:trPr>
          <w:trHeight w:val="27"/>
        </w:trPr>
        <w:tc>
          <w:tcPr>
            <w:tcW w:w="9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188,143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47,876</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3,730</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18,064</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190,979</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71,852</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 $0.00001 par value; 96,650,097 shares authorized as of December 31, 2024 and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44,494,703 shares issued and outstanding at December 31, 2024 and 2023, respectively; liquidation</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preference of $173,347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173,347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173,347</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9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$0.00001 par value; 175,095,000 shares authorized as of December 31, 2024 and 2023, respectively;</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17,519,999 and 17,454,353 shares issued and outstanding as of December 31, 2024 and 2023, respectively</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 124,225 shares at December 31, 2024 and 2023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145,441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141,496</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(429,251)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(368,056)</w:t>
            </w:r>
          </w:p>
        </w:tc>
      </w:tr>
      <w:tr>
        <w:trPr>
          <w:trHeight w:val="230"/>
        </w:trPr>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(283,810)</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(226,560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18,639</w:t>
            </w:r>
          </w:p>
        </w:tc>
      </w:tr>
      <w:tr>
        <w:trPr>
          <w:trHeight w:val="372"/>
        </w:trPr>
        <w:tc>
          <w:tcPr>
            <w:tcW w:w="91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Year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gridSpan w:val="7"/>
          </w:tcPr>
          <w:p>
            <w:pPr>
              <w:jc w:val="right"/>
              <w:ind w:right="701"/>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8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Engineering services revenue - related party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3,840</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Hardware revenue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18,115</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17,303</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8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42,384</w:t>
            </w:r>
          </w:p>
        </w:tc>
        <w:tc>
          <w:tcPr>
            <w:tcW w:w="120" w:type="dxa"/>
            <w:vAlign w:val="bottom"/>
          </w:tcPr>
          <w:p>
            <w:pPr>
              <w:spacing w:after="0"/>
              <w:rPr>
                <w:sz w:val="20"/>
                <w:szCs w:val="20"/>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foreign exchange transactions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7"/>
        </w:trPr>
        <w:tc>
          <w:tcPr>
            <w:tcW w:w="8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w:t>
            </w:r>
          </w:p>
        </w:tc>
      </w:tr>
      <w:tr>
        <w:trPr>
          <w:trHeight w:val="223"/>
        </w:trPr>
        <w:tc>
          <w:tcPr>
            <w:tcW w:w="8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(88,187)</w:t>
            </w:r>
          </w:p>
        </w:tc>
        <w:tc>
          <w:tcPr>
            <w:tcW w:w="12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 common stockholders, basic and diluted</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17,476,105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4,213,244</w:t>
            </w:r>
          </w:p>
        </w:tc>
        <w:tc>
          <w:tcPr>
            <w:tcW w:w="12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Blaize,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(87,589)</w:t>
            </w:r>
          </w:p>
        </w:tc>
      </w:tr>
      <w:tr>
        <w:trPr>
          <w:trHeight w:val="216"/>
        </w:trPr>
        <w:tc>
          <w:tcPr>
            <w:tcW w:w="9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2,040</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Pay-to-Play financing charge</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35,832</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Debt financing charge on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2,483</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Credit loss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Loss on purchase commitments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9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Noncash loss on lease termination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9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(2,186)</w:t>
            </w:r>
          </w:p>
        </w:tc>
      </w:tr>
      <w:tr>
        <w:trPr>
          <w:trHeight w:val="216"/>
        </w:trPr>
        <w:tc>
          <w:tcPr>
            <w:tcW w:w="9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(21,630)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9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Accrued loss on purchase commitments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(3,022)</w:t>
            </w:r>
          </w:p>
        </w:tc>
      </w:tr>
      <w:tr>
        <w:trPr>
          <w:trHeight w:val="216"/>
        </w:trPr>
        <w:tc>
          <w:tcPr>
            <w:tcW w:w="92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r>
      <w:tr>
        <w:trPr>
          <w:trHeight w:val="27"/>
        </w:trPr>
        <w:tc>
          <w:tcPr>
            <w:tcW w:w="9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(27,955)</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92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Pay-to-Play convertible notes and Common Rights Offering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9,425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110,718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 term demand notes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4,925</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short term demand notes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101,709</w:t>
            </w: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26,475</w:t>
            </w:r>
          </w:p>
        </w:tc>
        <w:tc>
          <w:tcPr>
            <w:tcW w:w="12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4,913</w:t>
            </w:r>
          </w:p>
        </w:tc>
      </w:tr>
      <w:tr>
        <w:trPr>
          <w:trHeight w:val="27"/>
        </w:trPr>
        <w:tc>
          <w:tcPr>
            <w:tcW w:w="9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cash, cash equivalents and restricted cash:</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50,237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within Other Assets)</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50,488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3,213</w:t>
            </w: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period for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Shadow Preferred in Pay-to-Play Pull Through Exchange at redemption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109,327</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new operating lease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acquired in accounts payable &amp;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and lease liabilities extinguished upon termination of lease, net of gain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with convertible notes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1,690</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deferred offering costs included in accounting payable and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1,491</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2025-03-27T17:33:01Z</dcterms:created>
  <dcterms:modified xsi:type="dcterms:W3CDTF">2025-03-27T17:33:01Z</dcterms:modified>
</cp:coreProperties>
</file>