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333-288742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314325</wp:posOffset>
            </wp:positionV>
            <wp:extent cx="27432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18,750,000 Shares of</w:t>
      </w:r>
    </w:p>
    <w:p>
      <w:pPr>
        <w:spacing w:after="0" w:line="4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December 18,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spacing w:after="0" w:line="203"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Quarterly Report on Form 10-Q filed with the SEC on May 14, 2026, which is set forth below.</w:t>
      </w:r>
    </w:p>
    <w:p>
      <w:pPr>
        <w:spacing w:after="0" w:line="18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May 13, 2026, the closing prices for our Common Stock and Warrants on the Nasdaq Stock Market LLC were $1.68 per share of Common Stock and $0.36 per Warrant.</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4"/>
          <w:szCs w:val="24"/>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spacing w:after="0" w:line="198" w:lineRule="exact"/>
        <w:rPr>
          <w:sz w:val="24"/>
          <w:szCs w:val="24"/>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14, 2026</w:t>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0"/>
          <w:szCs w:val="20"/>
          <w:color w:val="auto"/>
        </w:rPr>
      </w:pPr>
    </w:p>
    <w:p>
      <w:pPr>
        <w:ind w:left="520" w:hanging="358"/>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5" w:lineRule="exact"/>
        <w:rPr>
          <w:sz w:val="20"/>
          <w:szCs w:val="20"/>
          <w:color w:val="auto"/>
        </w:rPr>
      </w:pPr>
    </w:p>
    <w:p>
      <w:pPr>
        <w:ind w:left="520" w:hanging="342"/>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206"/>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4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87"/>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r>
      <w:tr>
        <w:trPr>
          <w:trHeight w:val="238"/>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22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206"/>
        </w:trPr>
        <w:tc>
          <w:tcPr>
            <w:tcW w:w="6140" w:type="dxa"/>
            <w:vAlign w:val="bottom"/>
          </w:tcPr>
          <w:p>
            <w:pPr>
              <w:jc w:val="center"/>
              <w:ind w:right="263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4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6140" w:type="dxa"/>
            <w:vAlign w:val="bottom"/>
          </w:tcPr>
          <w:p>
            <w:pPr>
              <w:jc w:val="right"/>
              <w:ind w:right="978"/>
              <w:spacing w:after="0"/>
              <w:rPr>
                <w:sz w:val="20"/>
                <w:szCs w:val="20"/>
                <w:color w:val="auto"/>
              </w:rPr>
            </w:pPr>
            <w:r>
              <w:rPr>
                <w:rFonts w:ascii="Times New Roman" w:cs="Times New Roman" w:eastAsia="Times New Roman" w:hAnsi="Times New Roman"/>
                <w:sz w:val="18"/>
                <w:szCs w:val="18"/>
                <w:b w:val="1"/>
                <w:bCs w:val="1"/>
                <w:color w:val="auto"/>
              </w:rPr>
              <w:t>(916) 347-0050</w:t>
            </w:r>
          </w:p>
        </w:tc>
        <w:tc>
          <w:tcPr>
            <w:tcW w:w="2240" w:type="dxa"/>
            <w:vAlign w:val="bottom"/>
          </w:tcPr>
          <w:p>
            <w:pPr>
              <w:spacing w:after="0"/>
              <w:rPr>
                <w:sz w:val="24"/>
                <w:szCs w:val="24"/>
                <w:color w:val="auto"/>
              </w:rPr>
            </w:pPr>
          </w:p>
        </w:tc>
      </w:tr>
      <w:tr>
        <w:trPr>
          <w:trHeight w:val="188"/>
        </w:trPr>
        <w:tc>
          <w:tcPr>
            <w:tcW w:w="6140" w:type="dxa"/>
            <w:vAlign w:val="bottom"/>
          </w:tcPr>
          <w:p>
            <w:pPr>
              <w:jc w:val="center"/>
              <w:ind w:left="281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40" w:type="dxa"/>
            <w:vAlign w:val="bottom"/>
          </w:tcPr>
          <w:p>
            <w:pPr>
              <w:spacing w:after="0"/>
              <w:rPr>
                <w:sz w:val="16"/>
                <w:szCs w:val="16"/>
                <w:color w:val="auto"/>
              </w:rPr>
            </w:pPr>
          </w:p>
        </w:tc>
      </w:tr>
    </w:tbl>
    <w:p>
      <w:pPr>
        <w:spacing w:after="0" w:line="100" w:lineRule="exact"/>
        <w:rPr>
          <w:sz w:val="20"/>
          <w:szCs w:val="20"/>
          <w:color w:val="auto"/>
        </w:rPr>
      </w:pPr>
    </w:p>
    <w:p>
      <w:pPr>
        <w:sectPr>
          <w:pgSz w:w="11900" w:h="16838" w:orient="portrait"/>
          <w:cols w:equalWidth="0" w:num="1">
            <w:col w:w="11240"/>
          </w:cols>
          <w:pgMar w:left="320" w:top="397"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3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59"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Warrants, each whole warrant exercisable for one share of common stock at an exercise price of $11.50 per share</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Series A Junior Participating Preferred Stock,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par value $0.0001 per share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6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0"/>
        </w:trPr>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BZAI</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338"/>
        </w:trPr>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BZAIW</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445"/>
        </w:trPr>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286" w:lineRule="exact"/>
        <w:rPr>
          <w:sz w:val="20"/>
          <w:szCs w:val="20"/>
          <w:color w:val="auto"/>
        </w:rPr>
      </w:pPr>
    </w:p>
    <w:p>
      <w:pPr>
        <w:sectPr>
          <w:pgSz w:w="11900" w:h="16838" w:orient="portrait"/>
          <w:cols w:equalWidth="0" w:num="2">
            <w:col w:w="4160" w:space="160"/>
            <w:col w:w="6920"/>
          </w:cols>
          <w:pgMar w:left="320" w:top="397" w:right="339" w:bottom="1440" w:gutter="0" w:footer="0" w:header="0"/>
          <w:type w:val="continuous"/>
        </w:sectPr>
      </w:pPr>
    </w:p>
    <w:p>
      <w:pPr>
        <w:spacing w:after="0" w:line="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tabs>
          <w:tab w:leader="none" w:pos="1980" w:val="left"/>
          <w:tab w:leader="none" w:pos="26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w:t>
      </w:r>
    </w:p>
    <w:p>
      <w:pPr>
        <w:spacing w:after="0" w:line="23" w:lineRule="exact"/>
        <w:rPr>
          <w:sz w:val="20"/>
          <w:szCs w:val="20"/>
          <w:color w:val="auto"/>
        </w:rPr>
      </w:pPr>
    </w:p>
    <w:p>
      <w:pPr>
        <w:spacing w:after="0"/>
        <w:tabs>
          <w:tab w:leader="none" w:pos="1080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5"/>
          <w:szCs w:val="15"/>
          <w:color w:val="auto"/>
        </w:rPr>
        <w:t>Yes</w:t>
      </w:r>
    </w:p>
    <w:p>
      <w:pPr>
        <w:spacing w:after="0" w:line="4" w:lineRule="exact"/>
        <w:rPr>
          <w:sz w:val="20"/>
          <w:szCs w:val="20"/>
          <w:color w:val="auto"/>
        </w:rPr>
      </w:pPr>
    </w:p>
    <w:p>
      <w:pPr>
        <w:ind w:left="340" w:hanging="332"/>
        <w:spacing w:after="0"/>
        <w:tabs>
          <w:tab w:leader="none" w:pos="34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11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0"/>
          <w:szCs w:val="20"/>
          <w:color w:val="auto"/>
        </w:rPr>
      </w:pPr>
    </w:p>
    <w:tbl>
      <w:tblPr>
        <w:tblLayout w:type="fixed"/>
        <w:tblInd w:w="1880" w:type="dxa"/>
        <w:tblCellMar>
          <w:top w:w="0" w:type="dxa"/>
          <w:left w:w="0" w:type="dxa"/>
          <w:bottom w:w="0" w:type="dxa"/>
          <w:right w:w="0" w:type="dxa"/>
        </w:tblCellMar>
      </w:tblPr>
      <w:tr>
        <w:trPr>
          <w:trHeight w:val="27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800" w:type="dxa"/>
            <w:vAlign w:val="bottom"/>
          </w:tcPr>
          <w:p>
            <w:pPr>
              <w:ind w:left="540"/>
              <w:spacing w:after="0"/>
              <w:rPr>
                <w:sz w:val="20"/>
                <w:szCs w:val="20"/>
                <w:color w:val="auto"/>
              </w:rPr>
            </w:pPr>
            <w:r>
              <w:rPr>
                <w:rFonts w:ascii="Wingdings" w:cs="Wingdings" w:eastAsia="Wingdings" w:hAnsi="Wingdings"/>
                <w:sz w:val="16"/>
                <w:szCs w:val="16"/>
                <w:b w:val="1"/>
                <w:bCs w:val="1"/>
                <w:color w:val="181717"/>
              </w:rPr>
              <w:t>o</w:t>
            </w:r>
          </w:p>
        </w:tc>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rPr>
                <w:sz w:val="20"/>
                <w:szCs w:val="20"/>
                <w:color w:val="auto"/>
              </w:rPr>
            </w:pPr>
            <w:r>
              <w:rPr>
                <w:rFonts w:ascii="Wingdings" w:cs="Wingdings" w:eastAsia="Wingdings" w:hAnsi="Wingdings"/>
                <w:sz w:val="16"/>
                <w:szCs w:val="16"/>
                <w:b w:val="1"/>
                <w:bCs w:val="1"/>
                <w:color w:val="181717"/>
                <w:w w:val="83"/>
              </w:rPr>
              <w:t>o</w:t>
            </w:r>
          </w:p>
        </w:tc>
        <w:tc>
          <w:tcPr>
            <w:tcW w:w="0" w:type="dxa"/>
            <w:vAlign w:val="bottom"/>
          </w:tcPr>
          <w:p>
            <w:pPr>
              <w:spacing w:after="0"/>
              <w:rPr>
                <w:sz w:val="1"/>
                <w:szCs w:val="1"/>
                <w:color w:val="auto"/>
              </w:rPr>
            </w:pPr>
          </w:p>
        </w:tc>
      </w:tr>
      <w:tr>
        <w:trPr>
          <w:trHeight w:val="48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8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39"/>
        </w:trPr>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vMerge w:val="restart"/>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pacing w:after="0" w:line="22" w:lineRule="exact"/>
        <w:rPr>
          <w:sz w:val="20"/>
          <w:szCs w:val="20"/>
          <w:color w:val="auto"/>
        </w:rPr>
      </w:pPr>
    </w:p>
    <w:p>
      <w:pPr>
        <w:spacing w:after="0"/>
        <w:tabs>
          <w:tab w:leader="none" w:pos="6340" w:val="left"/>
        </w:tabs>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r>
        <w:rPr>
          <w:sz w:val="20"/>
          <w:szCs w:val="20"/>
          <w:color w:val="auto"/>
        </w:rPr>
        <w:tab/>
      </w:r>
      <w:r>
        <w:rPr>
          <w:rFonts w:ascii="Wingdings" w:cs="Wingdings" w:eastAsia="Wingdings" w:hAnsi="Wingdings"/>
          <w:sz w:val="15"/>
          <w:szCs w:val="15"/>
          <w:b w:val="1"/>
          <w:bCs w:val="1"/>
          <w:color w:val="auto"/>
        </w:rPr>
        <w:t>o</w:t>
      </w:r>
    </w:p>
    <w:p>
      <w:pPr>
        <w:spacing w:after="0" w:line="51" w:lineRule="exact"/>
        <w:rPr>
          <w:sz w:val="20"/>
          <w:szCs w:val="20"/>
          <w:color w:val="auto"/>
        </w:rPr>
      </w:pPr>
    </w:p>
    <w:p>
      <w:pPr>
        <w:spacing w:after="0" w:line="184" w:lineRule="exact"/>
        <w:tabs>
          <w:tab w:leader="none" w:pos="7200" w:val="left"/>
          <w:tab w:leader="none" w:pos="7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14, 2026, there were 142,299,461 shares of the registrant’s common stock, par value $0.0001 per share, outstanding.</w:t>
      </w:r>
    </w:p>
    <w:p>
      <w:pPr>
        <w:sectPr>
          <w:pgSz w:w="11900" w:h="16838" w:orient="portrait"/>
          <w:cols w:equalWidth="0" w:num="1">
            <w:col w:w="11240"/>
          </w:cols>
          <w:pgMar w:left="320" w:top="397" w:right="339" w:bottom="1440" w:gutter="0" w:footer="0" w:header="0"/>
          <w:type w:val="continuous"/>
        </w:sectPr>
      </w:pPr>
    </w:p>
    <w:p>
      <w:pPr>
        <w:jc w:val="center"/>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1240"/>
          </w:cols>
          <w:pgMar w:left="320" w:top="39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32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99"/>
        </w:trPr>
        <w:tc>
          <w:tcPr>
            <w:tcW w:w="103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93"/>
        </w:trPr>
        <w:tc>
          <w:tcPr>
            <w:tcW w:w="10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Cautionary Note Regarding Forward-Looking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Important Information Regarding Our Disclosure to Investors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iii</w:t>
            </w:r>
          </w:p>
        </w:tc>
      </w:tr>
      <w:tr>
        <w:trPr>
          <w:trHeight w:val="513"/>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Pr>
          <w:p>
            <w:pPr>
              <w:spacing w:after="0"/>
              <w:rPr>
                <w:sz w:val="24"/>
                <w:szCs w:val="24"/>
                <w:color w:val="auto"/>
              </w:rPr>
            </w:pPr>
          </w:p>
        </w:tc>
      </w:tr>
      <w:tr>
        <w:trPr>
          <w:trHeight w:val="243"/>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1 — Organization and Description of Business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2 — Liquidity and Going Concern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3 — Revenue and Accounts Receivable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4 — Fair Value Measurements and Derivative Instruments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5 — Financial Statement Details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6 — Common Stock, Currently Outstanding Warrants to Purchase Common Stock, and Earnout 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7 — Net Loss Per Share of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8 — Segment Reporting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9 — Related Party Transactions and Balances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10 — Subsequent Events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70"/>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70"/>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365"/>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 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5.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6. 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14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(the “Annual Report on Form 10-K” or “Form 10-K”) filed with the U.S. Securities and Exchange Commission (“SEC”) on March 24, 2026,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the Form 10-K, as amended by Amendment No. 1 on Form 10-K/A filed with the SEC on April 30, 2026,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143" w:right="35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1143"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$2,430 and $523, respectively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 and $34,</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70,752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trade payables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30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earnout shares</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Polar warrants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63,211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 $0.0001 par value; 600,000,000 and 600,000,000 shares authorized as of</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March 31, 2026 and December 31, 2025, respectively, and 122,746,757 and 122,043,966</w:t>
            </w: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675,143</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(658,808)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(636,155)</w:t>
            </w: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39,000</w:t>
            </w:r>
          </w:p>
        </w:tc>
        <w:tc>
          <w:tcPr>
            <w:tcW w:w="0" w:type="dxa"/>
            <w:vAlign w:val="bottom"/>
          </w:tcPr>
          <w:p>
            <w:pPr>
              <w:spacing w:after="0"/>
              <w:rPr>
                <w:sz w:val="1"/>
                <w:szCs w:val="1"/>
                <w:color w:val="auto"/>
              </w:rPr>
            </w:pPr>
          </w:p>
        </w:tc>
      </w:tr>
      <w:tr>
        <w:trPr>
          <w:trHeight w:val="26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3"/>
        </w:trPr>
        <w:tc>
          <w:tcPr>
            <w:tcW w:w="7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w:t>
            </w: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(23,388)</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(38,021)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tcPr>
          <w:p>
            <w:pPr>
              <w:spacing w:after="0"/>
              <w:rPr>
                <w:sz w:val="23"/>
                <w:szCs w:val="23"/>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(226,048)</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116,518</w:t>
            </w: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4"/>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(109,578)</w:t>
            </w:r>
          </w:p>
        </w:tc>
      </w:tr>
      <w:tr>
        <w:trPr>
          <w:trHeight w:val="26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(147,599)</w:t>
            </w:r>
          </w:p>
        </w:tc>
      </w:tr>
      <w:tr>
        <w:trPr>
          <w:trHeight w:val="230"/>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6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adjustments, net</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(22,528)</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122,382,195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91,747,685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9"/>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Common Stock Subject</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9"/>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5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 Possible Redemption</w:t>
            </w:r>
          </w:p>
        </w:tc>
        <w:tc>
          <w:tcPr>
            <w:tcW w:w="80" w:type="dxa"/>
            <w:vAlign w:val="bottom"/>
            <w:gridSpan w:val="2"/>
            <w:vMerge w:val="restart"/>
          </w:tcPr>
          <w:p>
            <w:pPr>
              <w:spacing w:after="0"/>
              <w:rPr>
                <w:sz w:val="4"/>
                <w:szCs w:val="4"/>
                <w:color w:val="auto"/>
              </w:rPr>
            </w:pPr>
          </w:p>
        </w:tc>
        <w:tc>
          <w:tcPr>
            <w:tcW w:w="1940" w:type="dxa"/>
            <w:vAlign w:val="bottom"/>
            <w:gridSpan w:val="7"/>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gridSpan w:val="2"/>
            <w:vMerge w:val="restart"/>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gridSpan w:val="7"/>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1940" w:type="dxa"/>
            <w:vAlign w:val="bottom"/>
            <w:gridSpan w:val="7"/>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tcBorders>
              <w:bottom w:val="single" w:sz="8" w:color="auto"/>
            </w:tcBorders>
            <w:gridSpan w:val="7"/>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940" w:type="dxa"/>
            <w:vAlign w:val="bottom"/>
            <w:tcBorders>
              <w:bottom w:val="single" w:sz="8" w:color="auto"/>
            </w:tcBorders>
            <w:gridSpan w:val="7"/>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080" w:type="dxa"/>
            <w:vAlign w:val="bottom"/>
            <w:gridSpan w:val="5"/>
          </w:tcPr>
          <w:p>
            <w:pPr>
              <w:ind w:left="4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gridSpan w:val="2"/>
          </w:tcPr>
          <w:p>
            <w:pPr>
              <w:spacing w:after="0"/>
              <w:rPr>
                <w:sz w:val="19"/>
                <w:szCs w:val="19"/>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65"/>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9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122,043,966</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675,143</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(636,155)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9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8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122,746,757</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684,116</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(658,808)</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9"/>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Common Stock Subject</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0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 Possible Redemption</w:t>
            </w:r>
          </w:p>
        </w:tc>
        <w:tc>
          <w:tcPr>
            <w:tcW w:w="80" w:type="dxa"/>
            <w:vAlign w:val="bottom"/>
            <w:gridSpan w:val="2"/>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1920" w:type="dxa"/>
            <w:vAlign w:val="bottom"/>
            <w:gridSpan w:val="6"/>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gridSpan w:val="3"/>
            <w:vMerge w:val="restart"/>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920" w:type="dxa"/>
            <w:vAlign w:val="bottom"/>
            <w:tcBorders>
              <w:bottom w:val="single" w:sz="8" w:color="auto"/>
            </w:tcBorders>
            <w:gridSpan w:val="6"/>
            <w:vMerge w:val="continue"/>
          </w:tcPr>
          <w:p>
            <w:pPr>
              <w:spacing w:after="0"/>
              <w:rPr>
                <w:sz w:val="11"/>
                <w:szCs w:val="11"/>
                <w:color w:val="auto"/>
              </w:rPr>
            </w:pPr>
          </w:p>
        </w:tc>
        <w:tc>
          <w:tcPr>
            <w:tcW w:w="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080" w:type="dxa"/>
            <w:vAlign w:val="bottom"/>
            <w:gridSpan w:val="5"/>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 Equity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48,376,052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318,783</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(429,251)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Conversion of Legacy Blaize</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exercise of Legacy Blaize</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Merger and PIPE financing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(126,165)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Payment on shareholder note</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to</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advisors</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to advisor</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(147,761)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2,854,242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98,818,874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593,712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(577,012)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20" w:type="dxa"/>
            <w:vAlign w:val="bottom"/>
          </w:tcPr>
          <w:p>
            <w:pPr>
              <w:spacing w:after="0"/>
              <w:rPr>
                <w:sz w:val="19"/>
                <w:szCs w:val="19"/>
                <w:color w:val="auto"/>
              </w:rPr>
            </w:pPr>
          </w:p>
        </w:tc>
        <w:tc>
          <w:tcPr>
            <w:tcW w:w="33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(12,630)</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(15,944)</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11,343</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(12,567)</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0" w:type="dxa"/>
            <w:vAlign w:val="bottom"/>
          </w:tcPr>
          <w:p>
            <w:pPr>
              <w:spacing w:after="0"/>
              <w:rPr>
                <w:sz w:val="1"/>
                <w:szCs w:val="1"/>
                <w:color w:val="auto"/>
              </w:rPr>
            </w:pPr>
          </w:p>
        </w:tc>
      </w:tr>
      <w:tr>
        <w:trPr>
          <w:trHeight w:val="261"/>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33,483</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44,967</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8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33,483</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8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26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0" w:type="dxa"/>
            <w:vAlign w:val="bottom"/>
          </w:tcPr>
          <w:p>
            <w:pPr>
              <w:spacing w:after="0"/>
              <w:rPr>
                <w:sz w:val="1"/>
                <w:szCs w:val="1"/>
                <w:color w:val="auto"/>
              </w:rPr>
            </w:pP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condensed consolidated financial statements of the Company include the accounts of the Company and its wholly owned subsidiaries.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1" w:lineRule="exact"/>
        <w:rPr>
          <w:sz w:val="20"/>
          <w:szCs w:val="20"/>
          <w:color w:val="auto"/>
        </w:rPr>
      </w:pPr>
    </w:p>
    <w:p>
      <w:pPr>
        <w:jc w:val="both"/>
        <w:ind w:right="440"/>
        <w:spacing w:after="0" w:line="253"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 and Accounting for the Merger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disclosed in Note 3 — “Summary of Significant Accounting Policies” of the Notes to the Consolidated Financial Statements included in the Annual Report on Form 10-K. The Company did not adopt any new accounting standards during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Previously identified ASUs that are also currently applicable or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to the Company’s future consolidated financial statements are discussed in Note 3 of the Company’s consolidated financial statements included in the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cash and cash equivalents on hand of $33.2 million and accounts receivable less allowance for credit losses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$16.7 million, while accounts payable, accrued expenses and other current liabilities (excluding amounts due to related parties), and accrued trade payables totaled $21.4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Historically, the Company has funded its operations by using cash generated from financing activities and at the same time, has incurred negative cash flows from operations. Cash provided by financing activities was not significant for the period ended March 31, 2026 and was unrelated to any capital raising activities. Cash provided by financing activities was $11.3 million for the three months ended March 31, 2025, and was generated by capital raising activities. Cash used in operations for the three months ended March 31, 2026 and 2025 was $12.6 million and $15.9 million, respectively.</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$23.4 million and $38.0 million for the three months ended March 31, 2026 and 2025, respectively.</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8"/>
                <w:szCs w:val="18"/>
                <w:color w:val="auto"/>
              </w:rPr>
            </w:pP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
        </w:trPr>
        <w:tc>
          <w:tcPr>
            <w:tcW w:w="4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98"/>
        </w:trPr>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 A is a related party.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three months ended March 31, 2026 and 2025,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March 31, 2026 and December 31, 2025. The Company did not have any outstanding or unsatisfied performance obligations as of March 31, 2026 and December 31, 2025. The Company did not have material costs related to obtaining a contract, or fulfilling a contract that are not addressed by other accounting standards, with amortization periods greater than one year as of March 31, 2026 and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March 31, 2026, the Company’s accounts receivable were 47% current, 0% over 60 days past due, and 53% over 90 days past due under the credit terms of the applicable customer receivable.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accounts receivable due from related parties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three months ended March 31, 2026 and as of and for the year ended December 31, 2025 are set forth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2025</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7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provision due to collection of full balance</w:t>
            </w:r>
          </w:p>
        </w:tc>
        <w:tc>
          <w:tcPr>
            <w:tcW w:w="9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0"/>
        </w:trPr>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summary of the Company’s concentration of accounts receivable by customer as of March 31, 2026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600" w:type="dxa"/>
            <w:vAlign w:val="bottom"/>
          </w:tcPr>
          <w:p>
            <w:pPr>
              <w:spacing w:after="0"/>
              <w:rPr>
                <w:sz w:val="18"/>
                <w:szCs w:val="18"/>
                <w:color w:val="auto"/>
              </w:rPr>
            </w:pPr>
          </w:p>
        </w:tc>
        <w:tc>
          <w:tcPr>
            <w:tcW w:w="1620" w:type="dxa"/>
            <w:vAlign w:val="bottom"/>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7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(2)</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7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6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There were no accounts receivable due from related parties as of March 31, 2026.</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in China.</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by customer as of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6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1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63.8 %</w:t>
            </w: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 (4)</w:t>
            </w:r>
          </w:p>
        </w:tc>
        <w:tc>
          <w:tcPr>
            <w:tcW w:w="1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1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6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1380" w:type="dxa"/>
            <w:vAlign w:val="bottom"/>
            <w:tcBorders>
              <w:top w:val="single" w:sz="8" w:color="auto"/>
              <w:bottom w:val="single" w:sz="8" w:color="auto"/>
            </w:tcBorders>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and as of May 14, 2026, the Company had received payments of $16.9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 and Derivative Instruments</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spacing w:after="0" w:line="214"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$2.0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1"/>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months ended March 31, 2026 or the three months ended March 31, 2025.</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prior year and three months ended March 31, 2026 about the Company’s Level 3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7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Reclassification of equity-based shares to liabilities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9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Due to employee forfeitures during the quarter.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March 31, 2026 and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 valued using</w:t>
            </w:r>
          </w:p>
        </w:tc>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Method</w:t>
            </w: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200" w:type="dxa"/>
            <w:vAlign w:val="bottom"/>
          </w:tcPr>
          <w:p>
            <w:pPr>
              <w:spacing w:after="0"/>
              <w:rPr>
                <w:sz w:val="18"/>
                <w:szCs w:val="18"/>
                <w:color w:val="auto"/>
              </w:rPr>
            </w:pPr>
          </w:p>
        </w:tc>
        <w:tc>
          <w:tcPr>
            <w:tcW w:w="17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 methods</w:t>
            </w:r>
          </w:p>
        </w:tc>
        <w:tc>
          <w:tcPr>
            <w:tcW w:w="2340" w:type="dxa"/>
            <w:vAlign w:val="bottom"/>
            <w:gridSpan w:val="2"/>
            <w:vMerge w:val="continue"/>
          </w:tcPr>
          <w:p>
            <w:pPr>
              <w:spacing w:after="0"/>
              <w:rPr>
                <w:sz w:val="18"/>
                <w:szCs w:val="18"/>
                <w:color w:val="auto"/>
              </w:rPr>
            </w:pPr>
          </w:p>
        </w:tc>
        <w:tc>
          <w:tcPr>
            <w:tcW w:w="2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tcPr>
          <w:p>
            <w:pPr>
              <w:spacing w:after="0"/>
              <w:rPr>
                <w:sz w:val="23"/>
                <w:szCs w:val="23"/>
                <w:color w:val="auto"/>
              </w:rPr>
            </w:pPr>
          </w:p>
        </w:tc>
        <w:tc>
          <w:tcPr>
            <w:tcW w:w="1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4.62 years</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years</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(continuous)</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(interpolated)</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(continuous)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tcPr>
          <w:p>
            <w:pPr>
              <w:spacing w:after="0"/>
              <w:rPr>
                <w:sz w:val="23"/>
                <w:szCs w:val="23"/>
                <w:color w:val="auto"/>
              </w:rPr>
            </w:pPr>
          </w:p>
        </w:tc>
        <w:tc>
          <w:tcPr>
            <w:tcW w:w="1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3.79 years</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years</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three months ended March 31, 2026, the Company’s derivatives were comprised of:</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22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March 31, 2026 or December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ending balances of “inventories, net” are set forth on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Borders>
              <w:bottom w:val="single" w:sz="8" w:color="auto"/>
            </w:tcBorders>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20"/>
                <w:szCs w:val="20"/>
                <w:color w:val="auto"/>
              </w:rPr>
            </w:pPr>
          </w:p>
        </w:tc>
        <w:tc>
          <w:tcPr>
            <w:tcW w:w="1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Company is a contract manufacturer, all of its inventories are manufactured by a third party.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finished goods for resale during the three months ended March 31, 2026 or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“prepaid expenses and other current assets” are set forth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Borders>
              <w:bottom w:val="single" w:sz="8" w:color="auto"/>
            </w:tcBorders>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20"/>
                <w:szCs w:val="20"/>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959</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compensation</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Vendor deposits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664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Tax assets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“Tax assets” includes corporate income taxes receivable, sale taxes receivable and withholding taxes related to employee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Borders>
              <w:bottom w:val="single" w:sz="8" w:color="auto"/>
            </w:tcBorders>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20"/>
                <w:szCs w:val="20"/>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2,787</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1,467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1,654</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technology fees</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968</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current liabilities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580</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8"/>
        <w:spacing w:after="0" w:line="229" w:lineRule="auto"/>
        <w:tabs>
          <w:tab w:leader="none" w:pos="19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the balance of “other current liabilities” as presented above was substantially comprised of a short-term loan for directors and officers’ 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December 31, 2025 through March 31, 2026:</w:t>
            </w:r>
          </w:p>
        </w:tc>
        <w:tc>
          <w:tcPr>
            <w:tcW w:w="1200" w:type="dxa"/>
            <w:vAlign w:val="bottom"/>
          </w:tcPr>
          <w:p>
            <w:pPr>
              <w:spacing w:after="0"/>
              <w:rPr>
                <w:sz w:val="20"/>
                <w:szCs w:val="20"/>
                <w:color w:val="auto"/>
              </w:rPr>
            </w:pPr>
          </w:p>
        </w:tc>
      </w:tr>
      <w:tr>
        <w:trPr>
          <w:trHeight w:val="270"/>
        </w:trPr>
        <w:tc>
          <w:tcPr>
            <w:tcW w:w="9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43"/>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653,589</w:t>
            </w:r>
          </w:p>
        </w:tc>
      </w:tr>
      <w:tr>
        <w:trPr>
          <w:trHeight w:val="27"/>
        </w:trPr>
        <w:tc>
          <w:tcPr>
            <w:tcW w:w="9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49,202</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March 31, 2026</w:t>
            </w:r>
          </w:p>
        </w:tc>
        <w:tc>
          <w:tcPr>
            <w:tcW w:w="10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122,746,757</w:t>
            </w:r>
          </w:p>
        </w:tc>
      </w:tr>
      <w:tr>
        <w:trPr>
          <w:trHeight w:val="21"/>
        </w:trPr>
        <w:tc>
          <w:tcPr>
            <w:tcW w:w="9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Subsequent to March 31, 2026, the Company issued 18,918,918 shares of common stock in an underwritten stock offering and granted a 30-day option pursuant to which the Company may issue up to 2,837,837 additional shares of common stock. See Note 10 —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period ended March 31, 2026, there were no changes to the Company’s outstanding warrants or any of the terms of its outstanding warrants as described in its Annual Report on Form 10-K. Subsequent to March 31, 2026, the Company amended the outstanding Polar warrants to adjust the exercise price from $5.00 per share to $3.00 per share. See Note 10 — “Subsequent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spacing w:after="0" w:line="20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$3.9 million and $3.5 million, respectively, in stock-based compensation expense related to the Employee Earnout Shares. As of March 31, 2026, there was $62.8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4 — “Fair Value Measurements and Derivative Instruments”.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Net Loss Per Share of Common Stock</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months ended March 31, 2026 and 2025, as the effect of any potentially dilutive security would have been anti-dilutive due to the net losses in those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(147,761)</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122,382,195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91,747,685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21590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gridSpan w:val="2"/>
          </w:tcPr>
          <w:p>
            <w:pPr>
              <w:ind w:left="7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28,697,076</w:t>
            </w:r>
          </w:p>
        </w:tc>
        <w:tc>
          <w:tcPr>
            <w:tcW w:w="14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28,042,235</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1,150,724</w:t>
            </w: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BZAI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7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ESPP </w:t>
            </w:r>
            <w:r>
              <w:rPr>
                <w:rFonts w:ascii="Times New Roman" w:cs="Times New Roman" w:eastAsia="Times New Roman" w:hAnsi="Times New Roman"/>
                <w:sz w:val="23"/>
                <w:szCs w:val="23"/>
                <w:color w:val="auto"/>
                <w:vertAlign w:val="superscript"/>
              </w:rPr>
              <w:t>(2)</w:t>
            </w:r>
          </w:p>
        </w:tc>
        <w:tc>
          <w:tcPr>
            <w:tcW w:w="1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c>
          <w:tcPr>
            <w:tcW w:w="140" w:type="dxa"/>
            <w:vAlign w:val="bottom"/>
            <w:shd w:val="clear" w:color="auto" w:fill="CCEEFF"/>
          </w:tcPr>
          <w:p>
            <w:pPr>
              <w:spacing w:after="0"/>
              <w:rPr>
                <w:sz w:val="23"/>
                <w:szCs w:val="2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97,777,494</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79,538,878</w:t>
            </w:r>
          </w:p>
        </w:tc>
      </w:tr>
      <w:tr>
        <w:trPr>
          <w:trHeight w:val="20"/>
        </w:trPr>
        <w:tc>
          <w:tcPr>
            <w:tcW w:w="6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Polar warrants were issued in November 2025.</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The ESPP has not yet commenced.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evaluation of ongoing operating performance from period to period (“Adjusted EBITDA”), to make decisions regarding the Company’s strategy, including the allocation of resources, as well as the Company’s assessment of operating performance.</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“Fair Value Measurements and Derivative Instruments” for details regarding the Company’s cash equivalents. See Note 3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costs</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(109,530)</w:t>
            </w:r>
          </w:p>
        </w:tc>
      </w:tr>
      <w:tr>
        <w:trPr>
          <w:trHeight w:val="230"/>
        </w:trPr>
        <w:tc>
          <w:tcPr>
            <w:tcW w:w="66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r>
      <w:tr>
        <w:trPr>
          <w:trHeight w:val="229"/>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6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(147,807)</w:t>
            </w:r>
          </w:p>
        </w:tc>
      </w:tr>
      <w:tr>
        <w:trPr>
          <w:trHeight w:val="230"/>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109,530</w:t>
            </w:r>
          </w:p>
        </w:tc>
      </w:tr>
      <w:tr>
        <w:trPr>
          <w:trHeight w:val="229"/>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664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firstLine="8"/>
        <w:spacing w:after="0" w:line="255"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BurTech LP, LLC (the “Sponsor”). 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$2.6 million in revenue from the Referral Agreement, inclusive of sales commissions of $0.3 million, which was reported as a reduction of revenue, and paid fully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6 — “Common Stock, Currently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Warrants to Purchase Common Stock, and Earnout Shares”. The fair value of these other earnout shares as of March 31,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was $2.0 million and $2.2 million, respectively, as set forth on the Company’s condensed consolidated balance sheets as of each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condensed consolidated balance sheets, and was outstanding as of March 31, 2026 and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condensed consolidated balance sheets as of March 31, 2026 and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owed management fees in the amount of $0.2 million to the Sponsor as of March 31, 2026 and December 31, 2025. These amounts are reflected on the condensed consolidated balance sheets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March 31, 2026 and December 31, 2025, the outstanding principal of the shareholder note receivable was $8.6 million, the amount of which has been deducted from additional paid-in capital on the Company’s condensed consolidated balance sheets as of that date.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other related parties: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66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compensation received by related party employee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cash paid to other related parties</w:t>
            </w: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ind w:left="14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43"/>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Included in “selling, general and administrative - related party” on the Company’s</w:t>
            </w:r>
          </w:p>
        </w:tc>
        <w:tc>
          <w:tcPr>
            <w:tcW w:w="5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243"/>
        </w:trPr>
        <w:tc>
          <w:tcPr>
            <w:tcW w:w="6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condensed consolidated statements of operations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319" w:lineRule="exact"/>
        <w:rPr>
          <w:sz w:val="20"/>
          <w:szCs w:val="20"/>
          <w:color w:val="auto"/>
        </w:rPr>
      </w:pPr>
    </w:p>
    <w:p>
      <w:pPr>
        <w:ind w:right="80" w:firstLine="8"/>
        <w:spacing w:after="0" w:line="241" w:lineRule="auto"/>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160" w:firstLine="8"/>
        <w:spacing w:after="0" w:line="263" w:lineRule="auto"/>
        <w:tabs>
          <w:tab w:leader="none" w:pos="165"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 relative of one of the Company’s named executive officers is employed by the Company. Compensation received is presented in “included in selling, general and administrative - related party” for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condensed consolidated financial statements.</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5, 2026, the Company entered into Amendment No. 1 to Common Stock Purchase Warrants with the holders of the Polar warrants, amending the outstanding Polar warrants to adjust the exercise price from $5.00 per share to $3.00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Annual Report on Form 10-K for the year ended December 31, 2025 (the “Annual Report on Form 10-K”) and unaudited interim condensed consolidated financial statements as of and for the three months ended March 31,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in Our Business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5, 2026, the Company entered into Amendment No. 1 to Common Stock Purchase Warrants with the holders of the Polar warrants, amending the outstanding Polar warrants to adjust the exercise price from $5.00 per share to $3.00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March 31, 2026,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March 31, 2026,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March 31, 2026,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4"/>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171.9 %</w:t>
            </w:r>
          </w:p>
        </w:tc>
      </w:tr>
    </w:tbl>
    <w:p>
      <w:pPr>
        <w:spacing w:after="0" w:line="3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revenue increased to $2.7 million compared to $1.0 million for the three months ended March 31, 2025. The increase was primarily due to hardware sales under the Sales Partner Referral Agreement (the “Referral Agreement”) with a related party, inclusive of sales commissions of $0.3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spacing w:after="0"/>
              <w:rPr>
                <w:sz w:val="18"/>
                <w:szCs w:val="18"/>
                <w:color w:val="auto"/>
              </w:rPr>
            </w:pPr>
          </w:p>
        </w:tc>
      </w:tr>
      <w:tr>
        <w:trPr>
          <w:trHeight w:val="214"/>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 A is a related party.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bottom w:val="single" w:sz="8" w:color="auto"/>
            </w:tcBorders>
          </w:tcPr>
          <w:p>
            <w:pPr>
              <w:spacing w:after="0"/>
              <w:rPr>
                <w:sz w:val="18"/>
                <w:szCs w:val="18"/>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255.4 %</w:t>
            </w:r>
          </w:p>
        </w:tc>
      </w:tr>
      <w:tr>
        <w:trPr>
          <w:trHeight w:val="270"/>
        </w:trPr>
        <w:tc>
          <w:tcPr>
            <w:tcW w:w="4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cost of revenue increased by $0.8 million to $1.2 million, compared to $0.3 million for the three months ended March 31, 2025. The increase in cost of revenue is commensurate with the increase in sales for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research and development expense decreased by $3.4 million, or 26.2%, to $9.7 million, compared to $13.1 million for the three months ended March 31, 2025. The decrease was primarily due to a $2.1 million decrease in stock-based compensation expense allocated to employees within this department, as well as a general reduction in development activities related to our next generation chip.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selling, general and administrative expense increased by $2.0 million, or 15.0%, to $15.1 million, compared to $13.1 million for the three months ended March 31, 2025. The increase was primarily due to an increase in our provision for expected credit losses during the three months ended March 31, 2026.</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 related party expenses for the three months ended March 31, 2026 were comprised solely of payroll expenses for an individual related to one of our executive officers. During the three months ended March 31, 2025, selling, general and administrative - related party expenses included payroll expenses for the individual as well as advertising expenses incurred with a company owned by a relative of a shareholder and member of the Company’s Board of Directors.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bottom w:val="single" w:sz="8" w:color="auto"/>
            </w:tcBorders>
          </w:tcPr>
          <w:p>
            <w:pPr>
              <w:spacing w:after="0"/>
              <w:rPr>
                <w:sz w:val="18"/>
                <w:szCs w:val="18"/>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8"/>
        </w:trPr>
        <w:tc>
          <w:tcPr>
            <w:tcW w:w="45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302.1 %</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“total other expense, net” for the three months ended March 31, 2026 compared to the three months ended March 31, 2025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not outstanding in 2026. “Other, net” includes interest income, interest expense, fines and penalties (and the reversal of the same) regarding non-income tax based tax positions and foreign exchange gains and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68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spacing w:after="0"/>
              <w:rPr>
                <w:sz w:val="18"/>
                <w:szCs w:val="18"/>
                <w:color w:val="auto"/>
              </w:rPr>
            </w:pPr>
          </w:p>
        </w:tc>
      </w:tr>
      <w:tr>
        <w:trPr>
          <w:trHeight w:val="21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as of May 14,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653,589</w:t>
            </w:r>
          </w:p>
        </w:tc>
      </w:tr>
      <w:tr>
        <w:trPr>
          <w:trHeight w:val="27"/>
        </w:trPr>
        <w:tc>
          <w:tcPr>
            <w:tcW w:w="84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49,202</w:t>
            </w:r>
          </w:p>
        </w:tc>
      </w:tr>
      <w:tr>
        <w:trPr>
          <w:trHeight w:val="23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March 31, 2026</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122,746,757</w:t>
            </w:r>
          </w:p>
        </w:tc>
      </w:tr>
      <w:tr>
        <w:trPr>
          <w:trHeight w:val="27"/>
        </w:trPr>
        <w:tc>
          <w:tcPr>
            <w:tcW w:w="84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631,286</w:t>
            </w:r>
          </w:p>
        </w:tc>
      </w:tr>
      <w:tr>
        <w:trPr>
          <w:trHeight w:val="27"/>
        </w:trPr>
        <w:tc>
          <w:tcPr>
            <w:tcW w:w="84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issued on May 5, 2026 </w:t>
            </w:r>
            <w:r>
              <w:rPr>
                <w:rFonts w:ascii="Times New Roman" w:cs="Times New Roman" w:eastAsia="Times New Roman" w:hAnsi="Times New Roman"/>
                <w:sz w:val="23"/>
                <w:szCs w:val="23"/>
                <w:color w:val="auto"/>
                <w:vertAlign w:val="superscript"/>
              </w:rPr>
              <w:t>(1)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18,918,918</w:t>
            </w:r>
          </w:p>
        </w:tc>
      </w:tr>
      <w:tr>
        <w:trPr>
          <w:trHeight w:val="26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May 14, 2026</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142,299,461</w:t>
            </w:r>
          </w:p>
        </w:tc>
      </w:tr>
      <w:tr>
        <w:trPr>
          <w:trHeight w:val="21"/>
        </w:trPr>
        <w:tc>
          <w:tcPr>
            <w:tcW w:w="84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5, 2026, pursuant to the Underwriting Agreement, we sold and issued 18,918,918 shares of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tc>
        <w:tc>
          <w:tcPr>
            <w:tcW w:w="2220" w:type="dxa"/>
            <w:vAlign w:val="bottom"/>
          </w:tcPr>
          <w:p>
            <w:pPr>
              <w:spacing w:after="0"/>
              <w:rPr>
                <w:sz w:val="20"/>
                <w:szCs w:val="20"/>
                <w:color w:val="auto"/>
              </w:rPr>
            </w:pPr>
          </w:p>
        </w:tc>
      </w:tr>
      <w:tr>
        <w:trPr>
          <w:trHeight w:val="45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sets forth a description of our future commitments to issue common stock as of May 14, 2026:</w:t>
            </w:r>
          </w:p>
        </w:tc>
        <w:tc>
          <w:tcPr>
            <w:tcW w:w="2220" w:type="dxa"/>
            <w:vAlign w:val="bottom"/>
          </w:tcPr>
          <w:p>
            <w:pPr>
              <w:spacing w:after="0"/>
              <w:rPr>
                <w:sz w:val="24"/>
                <w:szCs w:val="24"/>
                <w:color w:val="auto"/>
              </w:rPr>
            </w:pPr>
          </w:p>
        </w:tc>
      </w:tr>
      <w:tr>
        <w:trPr>
          <w:trHeight w:val="270"/>
        </w:trPr>
        <w:tc>
          <w:tcPr>
            <w:tcW w:w="840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28,697,076</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(4)</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“Greenshoe” option shares </w:t>
            </w:r>
            <w:r>
              <w:rPr>
                <w:rFonts w:ascii="Times New Roman" w:cs="Times New Roman" w:eastAsia="Times New Roman" w:hAnsi="Times New Roman"/>
                <w:sz w:val="23"/>
                <w:szCs w:val="23"/>
                <w:color w:val="auto"/>
                <w:vertAlign w:val="superscript"/>
              </w:rPr>
              <w:t>(5)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2,837,837</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(7)</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100,615,331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May 14, 2026.</w:t>
      </w:r>
    </w:p>
    <w:p>
      <w:pPr>
        <w:spacing w:after="0" w:line="252" w:lineRule="exact"/>
        <w:rPr>
          <w:sz w:val="20"/>
          <w:szCs w:val="20"/>
          <w:color w:val="auto"/>
        </w:rPr>
      </w:pPr>
    </w:p>
    <w:p>
      <w:pPr>
        <w:ind w:firstLine="8"/>
        <w:spacing w:after="0" w:line="258"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2026, we had commitments to issue 28,697,076 shares of common stock to employees and others under stock option awards, and an additional 9,359,499 shares of our common stock under employee and other RSU awards. These commitments did not differ materially as of May 14, 2026, as we did not issue additional such awards during the time period between March 31, 2026 and May 14, 2026, although forfeitures from terminated employees and option exercises may decrease these commitments by immaterial amounts. We have further reserved 3,047,669 shares of our common stock under an employee stock purchase plan, which has not yet commenced.</w:t>
      </w:r>
    </w:p>
    <w:p>
      <w:pPr>
        <w:spacing w:after="0" w:line="210" w:lineRule="exact"/>
        <w:rPr>
          <w:rFonts w:ascii="Times New Roman" w:cs="Times New Roman" w:eastAsia="Times New Roman" w:hAnsi="Times New Roman"/>
          <w:sz w:val="22"/>
          <w:szCs w:val="22"/>
          <w:color w:val="auto"/>
          <w:vertAlign w:val="superscript"/>
        </w:rPr>
      </w:pPr>
    </w:p>
    <w:p>
      <w:pPr>
        <w:ind w:firstLine="8"/>
        <w:spacing w:after="0" w:line="255"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firstLine="8"/>
        <w:spacing w:after="0" w:line="251"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w:t>
      </w:r>
    </w:p>
    <w:p>
      <w:pPr>
        <w:spacing w:after="0" w:line="19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5, 2026, we amended the outstanding Polar warrants to adjust the exercise price from $5.00 per share to $3.00 per share.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8"/>
        <w:spacing w:after="0"/>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5, 2026, pursuant to the Underwriting Agreement, as part of our offering of common stock on that date, we granted the Underwriters a 30-day option to purchase up to 2,837,837 additional shares of common stock, commonly referred to as a “greenshoe” option. The greenshoe option expires on June 5, 2026.</w:t>
      </w:r>
    </w:p>
    <w:p>
      <w:pPr>
        <w:spacing w:after="0" w:line="200" w:lineRule="exact"/>
        <w:rPr>
          <w:rFonts w:ascii="Times New Roman" w:cs="Times New Roman" w:eastAsia="Times New Roman" w:hAnsi="Times New Roman"/>
          <w:sz w:val="22"/>
          <w:szCs w:val="22"/>
          <w:color w:val="auto"/>
          <w:vertAlign w:val="superscript"/>
        </w:rPr>
      </w:pPr>
    </w:p>
    <w:p>
      <w:pPr>
        <w:spacing w:after="0" w:line="242" w:lineRule="exact"/>
        <w:rPr>
          <w:rFonts w:ascii="Times New Roman" w:cs="Times New Roman" w:eastAsia="Times New Roman" w:hAnsi="Times New Roman"/>
          <w:sz w:val="22"/>
          <w:szCs w:val="22"/>
          <w:color w:val="auto"/>
          <w:vertAlign w:val="superscript"/>
        </w:rPr>
      </w:pPr>
    </w:p>
    <w:p>
      <w:pPr>
        <w:ind w:right="40" w:firstLine="8"/>
        <w:spacing w:after="0" w:line="259" w:lineRule="auto"/>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During the three months ended March 31, 2026, we made additional sales under this agreement, and also received payment in full (in respect of all sales made under this agreement during 2025 and through March 31, 2026) from the Sales Partner and then paid the sales commission in cash, although future sales commissions may be partially payable in shares of our common stock at our discretion.</w:t>
      </w:r>
    </w:p>
    <w:p>
      <w:pPr>
        <w:spacing w:after="0" w:line="200" w:lineRule="exact"/>
        <w:rPr>
          <w:rFonts w:ascii="Times New Roman" w:cs="Times New Roman" w:eastAsia="Times New Roman" w:hAnsi="Times New Roman"/>
          <w:sz w:val="22"/>
          <w:szCs w:val="22"/>
          <w:color w:val="auto"/>
          <w:vertAlign w:val="superscript"/>
        </w:rPr>
      </w:pPr>
    </w:p>
    <w:p>
      <w:pPr>
        <w:spacing w:after="0" w:line="232" w:lineRule="exact"/>
        <w:rPr>
          <w:rFonts w:ascii="Times New Roman" w:cs="Times New Roman" w:eastAsia="Times New Roman" w:hAnsi="Times New Roman"/>
          <w:sz w:val="22"/>
          <w:szCs w:val="22"/>
          <w:color w:val="auto"/>
          <w:vertAlign w:val="superscript"/>
        </w:rPr>
      </w:pPr>
    </w:p>
    <w:p>
      <w:pPr>
        <w:ind w:right="60" w:firstLine="8"/>
        <w:spacing w:after="0" w:line="255" w:lineRule="auto"/>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2026 and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Net cash used in operating activities was $12.6 million for the three months ended March 31, 2026, compared to $15.9 million for the three months ended March 31, 2025. The decrease in cash used in operating activities was primarily due to a decrease of $125.1 million in net loss, which included a decrease in adjustments to reconcile net loss to net cash used in operating expenses of $111.0 million resulting from less volatility in fair value measurements during the current period, and an increase in changes in operating assets and liabilities of $10.8 million largely arising from payment of accrued trade payables.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we used $0.1 million and $0.7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financing activities was $0.1 million, which consisted of proceeds from the exercise of stock options. During the three months ended March 31, 2025, net cash provided by financing activities consisted of $15.9 million of proceeds from the Merger and PIPE financing, partially offset by the $4.5 million payment of deferred offering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March 31, 2026 included normal course of business near-term general corporate expenses accrued in accounts payable and accrued expenses, such as consulting fees and employee payroll.</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fulfill that sales contract, recording the trade account payable with the remaining balance as of March 31, 2026 referred to, above. Through May 14, 2026, we have received payments of $16.9 million from our customer, and we paid our vendor in full. The remaining receivable of $6.8 million is due from our customer as of May 14, 2026.</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on hand of $33.2 million. Additionally, approximately $15.5 million remains available to draw on the Committed Equity Facility upon the expiration of the 60-day lockup agreement entered into with the underwriters of the equity raise finalized on May 6, 2026, or unless the price per share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equal to or exceeds $2.78, as 150% of the price to the public in the equity raise during the 60-day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Refer to Part II, Item 7, “Emerging Growth Company and Smaller Reporting Company Status” of our Annual Report on Form 10-K for the year ended December 31, 2025. There have been no material changes to our Emerging Growth Company and Smaller Reporting Company Statuses during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Refer to Part II, Item 7, “Critical Accounting Estimates” of our Annual Report on Form 10-K for the year ended December 31, 2025. There have been no material changes to our Critical Accounting Policies and Estimates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spacing w:after="0" w:line="1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and this may make it difficult for you to resell shares of common stock owned by you at times or at prices you find attractive.</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spacing w:after="0" w:line="20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adequate project financing, commercial borrowings and debt and equity capital markets to fund our operations or any significant anticipated capital expenditures;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industry in which we operate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partnerships or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executive officers or significant stockholders or the perception that such sales could occur; and</w:t>
      </w:r>
    </w:p>
    <w:p>
      <w:pPr>
        <w:ind w:left="660" w:right="14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changes in interest rates, changes in fuel prices, international currency fluctuations, and acts of war, terrorism, civil unrest, or pandemics.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activity of short sellers in our common stock could increase volatility in our share price and negatively impact our reputation, business, and ability to raise capital.</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key customers are not subject to minimum purchase commitments, and these customers may reduce or cease orders at any time, which could materially and adversely affect our business.</w:t>
      </w:r>
    </w:p>
    <w:p>
      <w:pPr>
        <w:spacing w:after="0" w:line="1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Issuer Repurchases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of the Exchange Act) adopted or terminated a trading arrangement for the purchase of Company securities for the three months ended March 31, 2026 that is either (i) a contract, instruction, or written plan intended to satisfy the affirmative defense conditions of Rule 10b5-1(c), or a “Rule 10b5-1 trading arrangement” or (ii)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121"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21"/>
          </w:tcPr>
          <w:p>
            <w:pPr>
              <w:spacing w:after="0" w:line="182"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Third Amended and Restated Certificate of Incorporation of Blaize Holdings, Inc. (incorporated by reference to Exhibit 3.1 to the</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Company’s Current Report on Form 8-K filed January 17, 2025)</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Certificate of Designations of Series A Junior Participating Preferred Stock of Blaize Holdings, Inc., filed with the Secretary of</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State of the State of Delaware on April 22, 2026 (incorporated by reference to Exhibit 3.1 to the Company’s Current Report on</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Form 8-K filed on April 22, 2026)</w:t>
            </w:r>
          </w:p>
        </w:tc>
        <w:tc>
          <w:tcPr>
            <w:tcW w:w="6640" w:type="dxa"/>
            <w:vAlign w:val="bottom"/>
            <w:tcBorders>
              <w:top w:val="single" w:sz="8" w:color="0000FF"/>
            </w:tcBorders>
            <w:gridSpan w:val="8"/>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Rights Agreement, dated as of April 22, 2026, between Blaize Holdings, Inc. and Continental Stock Transfer &amp; Trust Company,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21"/>
          </w:tcPr>
          <w:p>
            <w:pPr>
              <w:spacing w:after="0" w:line="15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which includes the Form of Certificate of Designations of Series A Junior Participating Preferred Stock as Exhibit A, the Form of</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Right Certificate as Exhibit B and the Summary of Rights to Purchase Preferred Stock as Exhibit C (incorporated by reference to</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Exhibit 4.1 to the Company’s Current Report on Form 8-K filed on April 22, 2026)</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Form of Lock-Up Agreement (incorporated by reference to Exhibit 10.1 to the Company’s Current Report on Form 8-K filed on</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May 6, 2026)</w:t>
              </w:r>
            </w:hyperlink>
          </w:p>
        </w:tc>
        <w:tc>
          <w:tcPr>
            <w:tcW w:w="8240" w:type="dxa"/>
            <w:vAlign w:val="bottom"/>
            <w:tcBorders>
              <w:top w:val="single" w:sz="8" w:color="0000FF"/>
            </w:tcBorders>
            <w:gridSpan w:val="1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Amendment No. 1 to Common Stock Purchase Warrants, by and among Blaize Holdings, Inc., Polar Long/Short Master Fund, and</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Polar Multi-Strategy Master Fund, dated May 5, 2026 (incorporated by reference to Exhibit 10.2 to the Company’s Current Report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 </w:t>
            </w:r>
            <w:r>
              <w:rPr>
                <w:rFonts w:ascii="MS PGothic" w:cs="MS PGothic" w:eastAsia="MS PGothic" w:hAnsi="MS PGothic"/>
                <w:sz w:val="18"/>
                <w:szCs w:val="18"/>
                <w:color w:val="auto"/>
              </w:rPr>
              <w:t>∓</w:t>
            </w:r>
          </w:p>
        </w:tc>
        <w:tc>
          <w:tcPr>
            <w:tcW w:w="2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on Form 8-K filed on May 6, 2026)</w:t>
              </w:r>
            </w:hyperlink>
          </w:p>
        </w:tc>
        <w:tc>
          <w:tcPr>
            <w:tcW w:w="6840" w:type="dxa"/>
            <w:vAlign w:val="bottom"/>
            <w:tcBorders>
              <w:top w:val="single" w:sz="8" w:color="0000FF"/>
            </w:tcBorders>
            <w:gridSpan w:val="1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Offer Letter, by and between Blaize Holdings, Inc. and Kim Peterson Evans, dated May 9, 2025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 </w:t>
            </w:r>
            <w:r>
              <w:rPr>
                <w:rFonts w:ascii="MS PGothic" w:cs="MS PGothic" w:eastAsia="MS PGothic" w:hAnsi="MS PGothic"/>
                <w:sz w:val="18"/>
                <w:szCs w:val="18"/>
                <w:color w:val="auto"/>
              </w:rPr>
              <w:t>∓</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56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Offer Letter, by and between Blaize Holdings, Inc. and Stephen P. Patak, dated December 9, 2025</w:t>
              </w:r>
            </w:hyperlink>
          </w:p>
        </w:tc>
        <w:tc>
          <w:tcPr>
            <w:tcW w:w="24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Chief Executive Officer Certifications pursuant to Section 302 of the Sarbanes Oxley Act of 2002</w:t>
              </w:r>
            </w:hyperlink>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Chief Financial Officer Certifications pursuant to Section 302 of the Sarbanes Oxley Act of 2002</w:t>
              </w:r>
            </w:hyperlink>
          </w:p>
        </w:tc>
        <w:tc>
          <w:tcPr>
            <w:tcW w:w="40" w:type="dxa"/>
            <w:vAlign w:val="bottom"/>
            <w:tcBorders>
              <w:top w:val="single" w:sz="8" w:color="0000FF"/>
            </w:tcBorders>
          </w:tcPr>
          <w:p>
            <w:pPr>
              <w:spacing w:after="0"/>
              <w:rPr>
                <w:sz w:val="18"/>
                <w:szCs w:val="18"/>
                <w:color w:val="auto"/>
              </w:rPr>
            </w:pPr>
          </w:p>
        </w:tc>
        <w:tc>
          <w:tcPr>
            <w:tcW w:w="24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Chief Executive Officer Certification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Oxley Act of 2002</w:t>
              </w:r>
            </w:hyperlink>
          </w:p>
        </w:tc>
        <w:tc>
          <w:tcPr>
            <w:tcW w:w="42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12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Chief Financial Officer Certification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1">
              <w:r>
                <w:rPr>
                  <w:rFonts w:ascii="Times New Roman" w:cs="Times New Roman" w:eastAsia="Times New Roman" w:hAnsi="Times New Roman"/>
                  <w:sz w:val="18"/>
                  <w:szCs w:val="18"/>
                  <w:color w:val="0000FF"/>
                  <w:w w:val="97"/>
                </w:rPr>
                <w:t>Act of 2002</w:t>
              </w:r>
            </w:hyperlink>
          </w:p>
        </w:tc>
        <w:tc>
          <w:tcPr>
            <w:tcW w:w="860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Labels Linkbase Document</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0" w:type="dxa"/>
            <w:vAlign w:val="bottom"/>
          </w:tcPr>
          <w:p>
            <w:pPr>
              <w:spacing w:after="0"/>
              <w:rPr>
                <w:sz w:val="1"/>
                <w:szCs w:val="1"/>
                <w:color w:val="auto"/>
              </w:rPr>
            </w:pPr>
          </w:p>
        </w:tc>
      </w:tr>
      <w:tr>
        <w:trPr>
          <w:trHeight w:val="22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0" w:type="dxa"/>
            <w:vAlign w:val="bottom"/>
          </w:tcPr>
          <w:p>
            <w:pPr>
              <w:spacing w:after="0"/>
              <w:rPr>
                <w:sz w:val="1"/>
                <w:szCs w:val="1"/>
                <w:color w:val="auto"/>
              </w:rPr>
            </w:pPr>
          </w:p>
        </w:tc>
      </w:tr>
      <w:tr>
        <w:trPr>
          <w:trHeight w:val="180"/>
        </w:trPr>
        <w:tc>
          <w:tcPr>
            <w:tcW w:w="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21"/>
          </w:tcPr>
          <w:p>
            <w:pPr>
              <w:spacing w:after="0" w:line="181"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in Inline XBRL and contained in Exhibit 101)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w:t>
      </w:r>
    </w:p>
    <w:p>
      <w:pPr>
        <w:spacing w:after="0" w:line="9" w:lineRule="exact"/>
        <w:rPr>
          <w:sz w:val="20"/>
          <w:szCs w:val="20"/>
          <w:color w:val="auto"/>
        </w:rPr>
      </w:pPr>
    </w:p>
    <w:p>
      <w:pPr>
        <w:ind w:left="660" w:right="40"/>
        <w:spacing w:after="0" w:line="250" w:lineRule="auto"/>
        <w:rPr>
          <w:sz w:val="20"/>
          <w:szCs w:val="20"/>
          <w:color w:val="auto"/>
        </w:rPr>
      </w:pPr>
      <w:r>
        <w:rPr>
          <w:rFonts w:ascii="Times New Roman" w:cs="Times New Roman" w:eastAsia="Times New Roman" w:hAnsi="Times New Roman"/>
          <w:sz w:val="18"/>
          <w:szCs w:val="18"/>
          <w:color w:val="auto"/>
        </w:rPr>
        <w:t>otherwise subject to the liabilities of that section, nor shall it be deemed incorporated by reference into any filing under the Securities Act of 1933, as amended, or the Securities Exchange Act of 1934, as amended.</w:t>
      </w:r>
    </w:p>
    <w:p>
      <w:pPr>
        <w:spacing w:after="0" w:line="1" w:lineRule="exact"/>
        <w:rPr>
          <w:sz w:val="20"/>
          <w:szCs w:val="20"/>
          <w:color w:val="auto"/>
        </w:rPr>
      </w:pPr>
    </w:p>
    <w:p>
      <w:pPr>
        <w:ind w:right="3460" w:firstLine="8"/>
        <w:spacing w:after="0" w:line="230" w:lineRule="exact"/>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has been identified as a management contract or compensatory plan or arrangement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Portions of this exhibit are redacted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8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By: /s/ Dinakar Munagala</w:t>
            </w:r>
          </w:p>
        </w:tc>
      </w:tr>
      <w:tr>
        <w:trPr>
          <w:trHeight w:val="20"/>
        </w:trPr>
        <w:tc>
          <w:tcPr>
            <w:tcW w:w="4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tcPr>
          <w:p>
            <w:pPr>
              <w:spacing w:after="0" w:line="20" w:lineRule="exact"/>
              <w:rPr>
                <w:sz w:val="1"/>
                <w:szCs w:val="1"/>
                <w:color w:val="auto"/>
              </w:rPr>
            </w:pPr>
          </w:p>
        </w:tc>
      </w:tr>
      <w:tr>
        <w:trPr>
          <w:trHeight w:val="243"/>
        </w:trPr>
        <w:tc>
          <w:tcPr>
            <w:tcW w:w="4140" w:type="dxa"/>
            <w:vAlign w:val="bottom"/>
          </w:tcPr>
          <w:p>
            <w:pPr>
              <w:spacing w:after="0"/>
              <w:rPr>
                <w:sz w:val="21"/>
                <w:szCs w:val="21"/>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Dinakar Munagala</w:t>
            </w:r>
          </w:p>
        </w:tc>
      </w:tr>
      <w:tr>
        <w:trPr>
          <w:trHeight w:val="236"/>
        </w:trPr>
        <w:tc>
          <w:tcPr>
            <w:tcW w:w="4140" w:type="dxa"/>
            <w:vAlign w:val="bottom"/>
          </w:tcPr>
          <w:p>
            <w:pPr>
              <w:spacing w:after="0"/>
              <w:rPr>
                <w:sz w:val="20"/>
                <w:szCs w:val="20"/>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43"/>
        </w:trPr>
        <w:tc>
          <w:tcPr>
            <w:tcW w:w="4140" w:type="dxa"/>
            <w:vAlign w:val="bottom"/>
          </w:tcPr>
          <w:p>
            <w:pPr>
              <w:spacing w:after="0"/>
              <w:rPr>
                <w:sz w:val="21"/>
                <w:szCs w:val="21"/>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By: /s/ Harminder Sehmi</w:t>
            </w:r>
          </w:p>
        </w:tc>
      </w:tr>
      <w:tr>
        <w:trPr>
          <w:trHeight w:val="20"/>
        </w:trPr>
        <w:tc>
          <w:tcPr>
            <w:tcW w:w="4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3"/>
        </w:trPr>
        <w:tc>
          <w:tcPr>
            <w:tcW w:w="4140" w:type="dxa"/>
            <w:vAlign w:val="bottom"/>
          </w:tcPr>
          <w:p>
            <w:pPr>
              <w:spacing w:after="0"/>
              <w:rPr>
                <w:sz w:val="21"/>
                <w:szCs w:val="21"/>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Harminder Sehmi</w:t>
            </w:r>
          </w:p>
        </w:tc>
      </w:tr>
      <w:tr>
        <w:trPr>
          <w:trHeight w:val="236"/>
        </w:trPr>
        <w:tc>
          <w:tcPr>
            <w:tcW w:w="4140" w:type="dxa"/>
            <w:vAlign w:val="bottom"/>
          </w:tcPr>
          <w:p>
            <w:pPr>
              <w:spacing w:after="0"/>
              <w:rPr>
                <w:sz w:val="20"/>
                <w:szCs w:val="20"/>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43"/>
        </w:trPr>
        <w:tc>
          <w:tcPr>
            <w:tcW w:w="4140" w:type="dxa"/>
            <w:vAlign w:val="bottom"/>
          </w:tcPr>
          <w:p>
            <w:pPr>
              <w:spacing w:after="0"/>
              <w:rPr>
                <w:sz w:val="21"/>
                <w:szCs w:val="21"/>
                <w:color w:val="auto"/>
              </w:rPr>
            </w:pPr>
          </w:p>
        </w:tc>
        <w:tc>
          <w:tcPr>
            <w:tcW w:w="5960" w:type="dxa"/>
            <w:vAlign w:val="bottom"/>
            <w:gridSpan w:val="3"/>
          </w:tcPr>
          <w:p>
            <w:pPr>
              <w:ind w:left="268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0340"/>
      </w:cols>
      <w:pgMar w:left="3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x"/>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s://www.sec.gov/Archives/edgar/data/1871638/000119312525008517/d903961dex31.htm" TargetMode="External"/><Relationship Id="rId12" Type="http://schemas.openxmlformats.org/officeDocument/2006/relationships/hyperlink" Target="https://www.sec.gov/Archives/edgar/data/1871638/000187163826000025/exhibit31-certificateofdes.htm" TargetMode="External"/><Relationship Id="rId13" Type="http://schemas.openxmlformats.org/officeDocument/2006/relationships/hyperlink" Target="https://www.sec.gov/Archives/edgar/data/1871638/000187163826000025/exhibit41-rightsplan.htm" TargetMode="External"/><Relationship Id="rId14" Type="http://schemas.openxmlformats.org/officeDocument/2006/relationships/hyperlink" Target="https://www.sec.gov/Archives/edgar/data/1871638/000187163826000029/ex101-formoflockxupagreeme.htm" TargetMode="External"/><Relationship Id="rId15" Type="http://schemas.openxmlformats.org/officeDocument/2006/relationships/hyperlink" Target="https://www.sec.gov/Archives/edgar/data/1871638/000187163826000029/exhibit102-bzaixpolarwarra.htm" TargetMode="External"/><Relationship Id="rId16" Type="http://schemas.openxmlformats.org/officeDocument/2006/relationships/hyperlink" Target="https://www.sec.gov/Archives/edgar/data/1871638/000187163826000031/exhibit103-kimpetersonevan.htm" TargetMode="External"/><Relationship Id="rId17" Type="http://schemas.openxmlformats.org/officeDocument/2006/relationships/hyperlink" Target="https://www.sec.gov/Archives/edgar/data/1871638/000187163826000031/exhibit104-stephenpatakxof.htm" TargetMode="External"/><Relationship Id="rId18" Type="http://schemas.openxmlformats.org/officeDocument/2006/relationships/hyperlink" Target="https://www.sec.gov/Archives/edgar/data/1871638/000187163826000031/a2026-q110xqex311xmunagala.htm" TargetMode="External"/><Relationship Id="rId19" Type="http://schemas.openxmlformats.org/officeDocument/2006/relationships/hyperlink" Target="https://www.sec.gov/Archives/edgar/data/1871638/000187163826000031/a2026-q110xqex312xsehmi.htm" TargetMode="External"/><Relationship Id="rId20" Type="http://schemas.openxmlformats.org/officeDocument/2006/relationships/hyperlink" Target="https://www.sec.gov/Archives/edgar/data/1871638/000187163826000031/a2026-q110xqex321xmunagala.htm" TargetMode="External"/><Relationship Id="rId21" Type="http://schemas.openxmlformats.org/officeDocument/2006/relationships/hyperlink" Target="https://www.sec.gov/Archives/edgar/data/1871638/000187163826000031/a2026-q110xqex322xsehm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2026-05-15T05:36:56Z</dcterms:created>
  <dcterms:modified xsi:type="dcterms:W3CDTF">2026-05-15T05:36:56Z</dcterms:modified>
</cp:coreProperties>
</file>