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2"/>
          <w:szCs w:val="42"/>
          <w:b w:val="1"/>
          <w:bCs w:val="1"/>
          <w:color w:val="auto"/>
        </w:rPr>
        <w:t>BURTECH ACQUISITION CORP.</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DECEMBER 21,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You recently received proxy materials from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for a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to be held at 11:30 a.m. Eastern Time on December 21, 2022. The Special Meeting will be via teleconference using the following dial-in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800-450-7155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Toll</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857-999-9155</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4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0728075#</w:t>
            </w:r>
          </w:p>
        </w:tc>
      </w:tr>
    </w:tbl>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You can find more information on the special meeting in the Company’s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at https://www.cstproxy.com/burtechacq/2022. We first mailed these materials to our stockholders on or about December 1, 2022.</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the Proxy Statement, the purpose of the Special Meeting is to consider and vote upon the following proposals:</w:t>
      </w:r>
    </w:p>
    <w:p>
      <w:pPr>
        <w:spacing w:after="0" w:line="221" w:lineRule="exact"/>
        <w:rPr>
          <w:sz w:val="20"/>
          <w:szCs w:val="20"/>
          <w:color w:val="auto"/>
        </w:rPr>
      </w:pPr>
    </w:p>
    <w:p>
      <w:pPr>
        <w:jc w:val="both"/>
        <w:ind w:firstLine="656"/>
        <w:spacing w:after="0" w:line="262" w:lineRule="auto"/>
        <w:tabs>
          <w:tab w:leader="none" w:pos="8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(such date actually extended being referred to as the “</w:t>
      </w:r>
      <w:r>
        <w:rPr>
          <w:rFonts w:ascii="Times New Roman" w:cs="Times New Roman" w:eastAsia="Times New Roman" w:hAnsi="Times New Roman"/>
          <w:sz w:val="18"/>
          <w:szCs w:val="18"/>
          <w:b w:val="1"/>
          <w:bCs w:val="1"/>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Termination Date another six (6) times, each such extension for an additional one (1) month period, until September 15, 2023, by depositing into the Trust Account $393,750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$2,362,500 for the total six-month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Charter Amendment Proposal, the Trust Amendment Proposal and the Adjournment Proposals are together referred to herein as the “</w:t>
      </w:r>
      <w:r>
        <w:rPr>
          <w:rFonts w:ascii="Times New Roman" w:cs="Times New Roman" w:eastAsia="Times New Roman" w:hAnsi="Times New Roman"/>
          <w:sz w:val="18"/>
          <w:szCs w:val="18"/>
          <w:b w:val="1"/>
          <w:bCs w:val="1"/>
          <w:color w:val="auto"/>
        </w:rPr>
        <w:t>Extension Proposals</w:t>
      </w:r>
      <w:r>
        <w:rPr>
          <w:rFonts w:ascii="Times New Roman" w:cs="Times New Roman" w:eastAsia="Times New Roman" w:hAnsi="Times New Roman"/>
          <w:sz w:val="18"/>
          <w:szCs w:val="18"/>
          <w:color w:val="auto"/>
        </w:rPr>
        <w:t>” and are more fully described in the Proxy Statement. This proxy statement supplement contains additional information that supplements the Proxy Statement. We urge you to read this supplement, together with the Proxy Statement regarding the Extension Proposals. Sincerely,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300"/>
        <w:spacing w:after="0"/>
        <w:rPr>
          <w:sz w:val="20"/>
          <w:szCs w:val="20"/>
          <w:color w:val="auto"/>
        </w:rPr>
      </w:pPr>
      <w:r>
        <w:rPr>
          <w:rFonts w:ascii="Times New Roman" w:cs="Times New Roman" w:eastAsia="Times New Roman" w:hAnsi="Times New Roman"/>
          <w:sz w:val="18"/>
          <w:szCs w:val="18"/>
          <w:b w:val="1"/>
          <w:bCs w:val="1"/>
          <w:color w:val="auto"/>
        </w:rPr>
        <w:t>YOUR PARTICIPATION IS EXTREMELY IMPORTANT – PLEASE VOTE TODAY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relating to the special meeting, voting your shares, or need to request additional proxy materials, you may contact our proxy solicitor at:</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Advantage Proxy</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Toll-Free: 877-870-8565</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We appreciate your support.</w:t>
      </w:r>
    </w:p>
    <w:p>
      <w:pPr>
        <w:spacing w:after="0" w:line="225" w:lineRule="exact"/>
        <w:rPr>
          <w:sz w:val="20"/>
          <w:szCs w:val="20"/>
          <w:color w:val="auto"/>
        </w:rPr>
      </w:pPr>
    </w:p>
    <w:p>
      <w:pPr>
        <w:jc w:val="center"/>
        <w:ind w:left="760" w:right="700"/>
        <w:spacing w:after="0" w:line="266" w:lineRule="auto"/>
        <w:rPr>
          <w:sz w:val="20"/>
          <w:szCs w:val="20"/>
          <w:color w:val="auto"/>
        </w:rPr>
      </w:pPr>
      <w:r>
        <w:rPr>
          <w:rFonts w:ascii="Times New Roman" w:cs="Times New Roman" w:eastAsia="Times New Roman" w:hAnsi="Times New Roman"/>
          <w:sz w:val="18"/>
          <w:szCs w:val="18"/>
          <w:color w:val="auto"/>
        </w:rPr>
        <w:t xml:space="preserve">IF YOUR SHARES ARE HELD IN A BROKERAGE ACCOUNT YOU SHOULD KNOW THAT </w:t>
      </w:r>
      <w:r>
        <w:rPr>
          <w:rFonts w:ascii="Times New Roman" w:cs="Times New Roman" w:eastAsia="Times New Roman" w:hAnsi="Times New Roman"/>
          <w:sz w:val="18"/>
          <w:szCs w:val="18"/>
          <w:b w:val="1"/>
          <w:bCs w:val="1"/>
          <w:u w:val="single" w:color="auto"/>
          <w:color w:val="auto"/>
        </w:rPr>
        <w:t>YOUR BROKER WILL NOT VOTE YOUR SHARES IF THEY DON'T RECEIVE INSTRUCTIONS FROM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VOTE YOUR SHARES NOW SO YOUR VOTE CAN BE COUNTED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0" w:right="7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SUPPLEMENT DATED DECEMBER 15,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NOVEMBER 29,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 DECEMBER 21, 2022</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information supplements, and should be read in conjunction with, the proxy statement of BurTech Acquisition Corp.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November 29, 2022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relating to the proposed Charter Amendment Proposal, the Trust Amendment Proposal and the Adjournment Proposal, more fully described in the Proxy Statement (together referred to as the “</w:t>
      </w:r>
      <w:r>
        <w:rPr>
          <w:rFonts w:ascii="Times New Roman" w:cs="Times New Roman" w:eastAsia="Times New Roman" w:hAnsi="Times New Roman"/>
          <w:sz w:val="18"/>
          <w:szCs w:val="18"/>
          <w:b w:val="1"/>
          <w:bCs w:val="1"/>
          <w:color w:val="auto"/>
        </w:rPr>
        <w:t>Extension Proposals</w:t>
      </w:r>
      <w:r>
        <w:rPr>
          <w:rFonts w:ascii="Times New Roman" w:cs="Times New Roman" w:eastAsia="Times New Roman" w:hAnsi="Times New Roman"/>
          <w:sz w:val="18"/>
          <w:szCs w:val="18"/>
          <w:color w:val="auto"/>
        </w:rPr>
        <w:t>”). This supplement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contains additional information that supplements the Proxy Statement and we urge you to read this supplement, together with the Proxy Statement regarding the following Extension Proposals:</w:t>
      </w:r>
    </w:p>
    <w:p>
      <w:pPr>
        <w:spacing w:after="0" w:line="179" w:lineRule="exact"/>
        <w:rPr>
          <w:sz w:val="20"/>
          <w:szCs w:val="20"/>
          <w:color w:val="auto"/>
        </w:rPr>
      </w:pPr>
    </w:p>
    <w:p>
      <w:pPr>
        <w:jc w:val="both"/>
        <w:ind w:firstLine="656"/>
        <w:spacing w:after="0" w:line="262" w:lineRule="auto"/>
        <w:tabs>
          <w:tab w:leader="none" w:pos="8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(such date actually extended being referred to as the “</w:t>
      </w:r>
      <w:r>
        <w:rPr>
          <w:rFonts w:ascii="Times New Roman" w:cs="Times New Roman" w:eastAsia="Times New Roman" w:hAnsi="Times New Roman"/>
          <w:sz w:val="18"/>
          <w:szCs w:val="18"/>
          <w:b w:val="1"/>
          <w:bCs w:val="1"/>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Termination Date another six (6) times, each such extension for an additional one (1) month period, until September 15, 2023, by depositing into the Trust Account $393,750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$2,362,500 for the total six-month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information in this Supplement differs from, updates or conflicts with information contained in the Proxy Statement, the information in this Supplement is the more current information. This Supplement is not complete without, and should not be read or utilized, except in conjunction with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 to Proxy Statement</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BurTech LP, LLC, the sponsor of the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intends to support the Company in the wake of a new potential excise tax that may be levied on stockholder redemptions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w:t>
      </w:r>
      <w:r>
        <w:rPr>
          <w:rFonts w:ascii="Times New Roman" w:cs="Times New Roman" w:eastAsia="Times New Roman" w:hAnsi="Times New Roman"/>
          <w:sz w:val="18"/>
          <w:szCs w:val="18"/>
          <w:b w:val="1"/>
          <w:bCs w:val="1"/>
          <w:color w:val="auto"/>
        </w:rPr>
        <w:t>IR Act</w:t>
      </w:r>
      <w:r>
        <w:rPr>
          <w:rFonts w:ascii="Times New Roman" w:cs="Times New Roman" w:eastAsia="Times New Roman" w:hAnsi="Times New Roman"/>
          <w:sz w:val="18"/>
          <w:szCs w:val="18"/>
          <w:color w:val="auto"/>
        </w:rPr>
        <w:t>”), which, among other things, imposes a 1% excise tax on any publicly traded domestic corporation that repurchases its stock after December 31, 2022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w:t>
      </w:r>
      <w:r>
        <w:rPr>
          <w:rFonts w:ascii="Times New Roman" w:cs="Times New Roman" w:eastAsia="Times New Roman" w:hAnsi="Times New Roman"/>
          <w:sz w:val="18"/>
          <w:szCs w:val="18"/>
          <w:b w:val="1"/>
          <w:bCs w:val="1"/>
          <w:color w:val="auto"/>
        </w:rPr>
        <w:t>Treasury</w:t>
      </w:r>
      <w:r>
        <w:rPr>
          <w:rFonts w:ascii="Times New Roman" w:cs="Times New Roman" w:eastAsia="Times New Roman" w:hAnsi="Times New Roman"/>
          <w:sz w:val="18"/>
          <w:szCs w:val="18"/>
          <w:color w:val="auto"/>
        </w:rPr>
        <w:t>”),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Issuances of securities in connection with our initial Business Combination transaction (including any PIPE transaction at the time of our initial Business Combination) are expected to reduce the amount of the Excise Tax in connection with redemptions occurring in the same calendar year, but the number of securities redeemed may exceed the number of securities issued.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Further, the application of the Excise tax in the event of a liquidation is uncertain. Consequently, the Excise Tax may make a transaction with us less appealing to potential Business Combination targets.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mitigate the current uncertainty surrounding the implementation of the IR Act, in the event that the Extension Proposals are implemented, the Sponsor intends to indemnify the Company for any excise tax liabilities resulting from the implementation of the IR Act with respect to any future redemptions that occur after December 31, 2022. For the avoidance of doubt, the proceeds placed in the Company’s trust account and the interest earned thereon shall not be used to pay for any excise tax due under the IR Act in connection with any redemptions of the Company’s shares of Class A common stock prior to or in connection with the consummation of its initial business combination.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END OF SUPPLEMENT TO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2022-12-15T16:13:31Z</dcterms:created>
  <dcterms:modified xsi:type="dcterms:W3CDTF">2022-12-15T16:13:31Z</dcterms:modified>
</cp:coreProperties>
</file>