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31, 2022</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BURTECH ACQUISITION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140" w:type="dxa"/>
            <w:vAlign w:val="bottom"/>
          </w:tcPr>
          <w:p>
            <w:pPr>
              <w:jc w:val="center"/>
              <w:ind w:left="610"/>
              <w:spacing w:after="0"/>
              <w:rPr>
                <w:sz w:val="20"/>
                <w:szCs w:val="20"/>
                <w:color w:val="auto"/>
              </w:rPr>
            </w:pPr>
            <w:r>
              <w:rPr>
                <w:rFonts w:ascii="Arial" w:cs="Arial" w:eastAsia="Arial" w:hAnsi="Arial"/>
                <w:sz w:val="18"/>
                <w:szCs w:val="18"/>
                <w:b w:val="1"/>
                <w:bCs w:val="1"/>
                <w:color w:val="auto"/>
                <w:w w:val="91"/>
              </w:rPr>
              <w:t>Delaware</w:t>
            </w:r>
          </w:p>
        </w:tc>
        <w:tc>
          <w:tcPr>
            <w:tcW w:w="4400" w:type="dxa"/>
            <w:vAlign w:val="bottom"/>
            <w:gridSpan w:val="3"/>
          </w:tcPr>
          <w:p>
            <w:pPr>
              <w:jc w:val="center"/>
              <w:ind w:left="730"/>
              <w:spacing w:after="0"/>
              <w:rPr>
                <w:sz w:val="20"/>
                <w:szCs w:val="20"/>
                <w:color w:val="auto"/>
              </w:rPr>
            </w:pPr>
            <w:r>
              <w:rPr>
                <w:rFonts w:ascii="Arial" w:cs="Arial" w:eastAsia="Arial" w:hAnsi="Arial"/>
                <w:sz w:val="18"/>
                <w:szCs w:val="18"/>
                <w:color w:val="auto"/>
                <w:w w:val="90"/>
              </w:rPr>
              <w:t>001-41139</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40" w:type="dxa"/>
            <w:vAlign w:val="bottom"/>
          </w:tcPr>
          <w:p>
            <w:pPr>
              <w:jc w:val="center"/>
              <w:ind w:right="570"/>
              <w:spacing w:after="0"/>
              <w:rPr>
                <w:sz w:val="20"/>
                <w:szCs w:val="20"/>
                <w:color w:val="auto"/>
              </w:rPr>
            </w:pPr>
            <w:r>
              <w:rPr>
                <w:rFonts w:ascii="Arial" w:cs="Arial" w:eastAsia="Arial" w:hAnsi="Arial"/>
                <w:sz w:val="18"/>
                <w:szCs w:val="18"/>
                <w:b w:val="1"/>
                <w:bCs w:val="1"/>
                <w:color w:val="auto"/>
                <w:w w:val="91"/>
              </w:rPr>
              <w:t>86-2708752</w:t>
            </w:r>
          </w:p>
        </w:tc>
      </w:tr>
      <w:tr>
        <w:trPr>
          <w:trHeight w:val="202"/>
        </w:trPr>
        <w:tc>
          <w:tcPr>
            <w:tcW w:w="3140" w:type="dxa"/>
            <w:vAlign w:val="bottom"/>
            <w:tcBorders>
              <w:top w:val="single" w:sz="8" w:color="auto"/>
            </w:tcBorders>
          </w:tcPr>
          <w:p>
            <w:pPr>
              <w:jc w:val="center"/>
              <w:ind w:left="610"/>
              <w:spacing w:after="0" w:line="201" w:lineRule="exact"/>
              <w:rPr>
                <w:sz w:val="20"/>
                <w:szCs w:val="20"/>
                <w:color w:val="auto"/>
              </w:rPr>
            </w:pPr>
            <w:r>
              <w:rPr>
                <w:rFonts w:ascii="Arial" w:cs="Arial" w:eastAsia="Arial" w:hAnsi="Arial"/>
                <w:sz w:val="18"/>
                <w:szCs w:val="18"/>
                <w:color w:val="auto"/>
                <w:w w:val="91"/>
              </w:rPr>
              <w:t>(State or other jurisdiction</w:t>
            </w: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(Commission</w:t>
            </w: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jc w:val="center"/>
              <w:ind w:right="55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140" w:type="dxa"/>
            <w:vAlign w:val="bottom"/>
          </w:tcPr>
          <w:p>
            <w:pPr>
              <w:jc w:val="center"/>
              <w:ind w:left="610"/>
              <w:spacing w:after="0"/>
              <w:rPr>
                <w:sz w:val="20"/>
                <w:szCs w:val="20"/>
                <w:color w:val="auto"/>
              </w:rPr>
            </w:pPr>
            <w:r>
              <w:rPr>
                <w:rFonts w:ascii="Arial" w:cs="Arial" w:eastAsia="Arial" w:hAnsi="Arial"/>
                <w:sz w:val="18"/>
                <w:szCs w:val="18"/>
                <w:color w:val="auto"/>
                <w:w w:val="95"/>
              </w:rPr>
              <w:t>of incorporation)</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gridSpan w:val="3"/>
          </w:tcPr>
          <w:p>
            <w:pPr>
              <w:jc w:val="center"/>
              <w:ind w:right="740"/>
              <w:spacing w:after="0"/>
              <w:rPr>
                <w:sz w:val="20"/>
                <w:szCs w:val="20"/>
                <w:color w:val="auto"/>
              </w:rPr>
            </w:pPr>
            <w:r>
              <w:rPr>
                <w:rFonts w:ascii="Arial" w:cs="Arial" w:eastAsia="Arial" w:hAnsi="Arial"/>
                <w:sz w:val="18"/>
                <w:szCs w:val="18"/>
                <w:color w:val="auto"/>
                <w:w w:val="94"/>
              </w:rPr>
              <w:t>File Number)</w:t>
            </w:r>
          </w:p>
        </w:tc>
        <w:tc>
          <w:tcPr>
            <w:tcW w:w="2940" w:type="dxa"/>
            <w:vAlign w:val="bottom"/>
          </w:tcPr>
          <w:p>
            <w:pPr>
              <w:jc w:val="center"/>
              <w:ind w:right="5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89"/>
              </w:rPr>
              <w:t>1300 Pennsylvania Ave NW, Suite 700</w:t>
            </w:r>
          </w:p>
        </w:tc>
        <w:tc>
          <w:tcPr>
            <w:tcW w:w="2940" w:type="dxa"/>
            <w:vAlign w:val="bottom"/>
          </w:tcPr>
          <w:p>
            <w:pPr>
              <w:spacing w:after="0"/>
              <w:rPr>
                <w:sz w:val="24"/>
                <w:szCs w:val="24"/>
                <w:color w:val="auto"/>
              </w:rPr>
            </w:pPr>
          </w:p>
        </w:tc>
      </w:tr>
      <w:tr>
        <w:trPr>
          <w:trHeight w:val="220"/>
        </w:trPr>
        <w:tc>
          <w:tcPr>
            <w:tcW w:w="3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90"/>
              </w:rPr>
              <w:t>Washington, DC 20004</w:t>
            </w:r>
          </w:p>
        </w:tc>
        <w:tc>
          <w:tcPr>
            <w:tcW w:w="2940" w:type="dxa"/>
            <w:vAlign w:val="bottom"/>
          </w:tcPr>
          <w:p>
            <w:pPr>
              <w:spacing w:after="0"/>
              <w:rPr>
                <w:sz w:val="19"/>
                <w:szCs w:val="19"/>
                <w:color w:val="auto"/>
              </w:rPr>
            </w:pPr>
          </w:p>
        </w:tc>
      </w:tr>
      <w:tr>
        <w:trPr>
          <w:trHeight w:val="230"/>
        </w:trPr>
        <w:tc>
          <w:tcPr>
            <w:tcW w:w="3140" w:type="dxa"/>
            <w:vAlign w:val="bottom"/>
          </w:tcPr>
          <w:p>
            <w:pPr>
              <w:spacing w:after="0"/>
              <w:rPr>
                <w:sz w:val="20"/>
                <w:szCs w:val="20"/>
                <w:color w:val="auto"/>
              </w:rPr>
            </w:pPr>
          </w:p>
        </w:tc>
        <w:tc>
          <w:tcPr>
            <w:tcW w:w="516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2940" w:type="dxa"/>
            <w:vAlign w:val="bottom"/>
          </w:tcPr>
          <w:p>
            <w:pPr>
              <w:spacing w:after="0"/>
              <w:rPr>
                <w:sz w:val="20"/>
                <w:szCs w:val="20"/>
                <w:color w:val="auto"/>
              </w:rPr>
            </w:pPr>
          </w:p>
        </w:tc>
      </w:tr>
      <w:tr>
        <w:trPr>
          <w:trHeight w:val="418"/>
        </w:trPr>
        <w:tc>
          <w:tcPr>
            <w:tcW w:w="3140" w:type="dxa"/>
            <w:vAlign w:val="bottom"/>
          </w:tcPr>
          <w:p>
            <w:pPr>
              <w:spacing w:after="0"/>
              <w:rPr>
                <w:sz w:val="24"/>
                <w:szCs w:val="24"/>
                <w:color w:val="auto"/>
              </w:rPr>
            </w:pPr>
          </w:p>
        </w:tc>
        <w:tc>
          <w:tcPr>
            <w:tcW w:w="440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0"/>
              </w:rPr>
              <w:t>(</w:t>
            </w:r>
            <w:r>
              <w:rPr>
                <w:rFonts w:ascii="Arial" w:cs="Arial" w:eastAsia="Arial" w:hAnsi="Arial"/>
                <w:sz w:val="18"/>
                <w:szCs w:val="18"/>
                <w:color w:val="auto"/>
                <w:w w:val="90"/>
              </w:rPr>
              <w:t>202) 600-5757</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30"/>
        </w:trPr>
        <w:tc>
          <w:tcPr>
            <w:tcW w:w="3140" w:type="dxa"/>
            <w:vAlign w:val="bottom"/>
          </w:tcPr>
          <w:p>
            <w:pPr>
              <w:spacing w:after="0"/>
              <w:rPr>
                <w:sz w:val="20"/>
                <w:szCs w:val="20"/>
                <w:color w:val="auto"/>
              </w:rPr>
            </w:pPr>
          </w:p>
        </w:tc>
        <w:tc>
          <w:tcPr>
            <w:tcW w:w="5160" w:type="dxa"/>
            <w:vAlign w:val="bottom"/>
            <w:gridSpan w:val="5"/>
          </w:tcPr>
          <w:p>
            <w:pPr>
              <w:ind w:left="600"/>
              <w:spacing w:after="0"/>
              <w:rPr>
                <w:sz w:val="20"/>
                <w:szCs w:val="20"/>
                <w:color w:val="auto"/>
              </w:rPr>
            </w:pPr>
            <w:r>
              <w:rPr>
                <w:rFonts w:ascii="Arial" w:cs="Arial" w:eastAsia="Arial" w:hAnsi="Arial"/>
                <w:sz w:val="18"/>
                <w:szCs w:val="18"/>
                <w:color w:val="auto"/>
              </w:rPr>
              <w:t>Registrant’s telephone number, including area code:</w:t>
            </w:r>
          </w:p>
        </w:tc>
        <w:tc>
          <w:tcPr>
            <w:tcW w:w="2940" w:type="dxa"/>
            <w:vAlign w:val="bottom"/>
          </w:tcPr>
          <w:p>
            <w:pPr>
              <w:spacing w:after="0"/>
              <w:rPr>
                <w:sz w:val="20"/>
                <w:szCs w:val="20"/>
                <w:color w:val="auto"/>
              </w:rPr>
            </w:pPr>
          </w:p>
        </w:tc>
      </w:tr>
      <w:tr>
        <w:trPr>
          <w:trHeight w:val="418"/>
        </w:trPr>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92"/>
              </w:rPr>
              <w:t>Not Applicable</w:t>
            </w:r>
          </w:p>
        </w:tc>
        <w:tc>
          <w:tcPr>
            <w:tcW w:w="2940" w:type="dxa"/>
            <w:vAlign w:val="bottom"/>
          </w:tcPr>
          <w:p>
            <w:pPr>
              <w:spacing w:after="0"/>
              <w:rPr>
                <w:sz w:val="24"/>
                <w:szCs w:val="24"/>
                <w:color w:val="auto"/>
              </w:rPr>
            </w:pPr>
          </w:p>
        </w:tc>
      </w:tr>
      <w:tr>
        <w:trPr>
          <w:trHeight w:val="230"/>
        </w:trPr>
        <w:tc>
          <w:tcPr>
            <w:tcW w:w="3140" w:type="dxa"/>
            <w:vAlign w:val="bottom"/>
          </w:tcPr>
          <w:p>
            <w:pPr>
              <w:spacing w:after="0"/>
              <w:rPr>
                <w:sz w:val="20"/>
                <w:szCs w:val="20"/>
                <w:color w:val="auto"/>
              </w:rPr>
            </w:pPr>
          </w:p>
        </w:tc>
        <w:tc>
          <w:tcPr>
            <w:tcW w:w="5160" w:type="dxa"/>
            <w:vAlign w:val="bottom"/>
            <w:gridSpan w:val="5"/>
          </w:tcPr>
          <w:p>
            <w:pPr>
              <w:jc w:val="center"/>
              <w:ind w:right="18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2940" w:type="dxa"/>
            <w:vAlign w:val="bottom"/>
          </w:tcPr>
          <w:p>
            <w:pPr>
              <w:spacing w:after="0"/>
              <w:rPr>
                <w:sz w:val="20"/>
                <w:szCs w:val="20"/>
                <w:color w:val="auto"/>
              </w:rPr>
            </w:pPr>
          </w:p>
        </w:tc>
      </w:tr>
    </w:tbl>
    <w:p>
      <w:pPr>
        <w:spacing w:after="0" w:line="202"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540" w:hanging="3228"/>
        <w:spacing w:after="0" w:line="560" w:lineRule="auto"/>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3940" w:type="dxa"/>
            <w:vAlign w:val="bottom"/>
            <w:gridSpan w:val="2"/>
          </w:tcPr>
          <w:p>
            <w:pPr>
              <w:ind w:left="1240"/>
              <w:spacing w:after="0"/>
              <w:rPr>
                <w:sz w:val="20"/>
                <w:szCs w:val="20"/>
                <w:color w:val="auto"/>
              </w:rPr>
            </w:pPr>
            <w:r>
              <w:rPr>
                <w:rFonts w:ascii="Arial" w:cs="Arial" w:eastAsia="Arial" w:hAnsi="Arial"/>
                <w:sz w:val="18"/>
                <w:szCs w:val="18"/>
                <w:b w:val="1"/>
                <w:bCs w:val="1"/>
                <w:color w:val="auto"/>
              </w:rPr>
              <w:t>Title of each class</w:t>
            </w:r>
          </w:p>
        </w:tc>
        <w:tc>
          <w:tcPr>
            <w:tcW w:w="3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9"/>
              </w:rPr>
              <w:t>registered</w:t>
            </w:r>
          </w:p>
        </w:tc>
      </w:tr>
      <w:tr>
        <w:trPr>
          <w:trHeight w:val="195"/>
        </w:trPr>
        <w:tc>
          <w:tcPr>
            <w:tcW w:w="38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Units, each consisting of one share of Common</w:t>
            </w:r>
          </w:p>
        </w:tc>
        <w:tc>
          <w:tcPr>
            <w:tcW w:w="120" w:type="dxa"/>
            <w:vAlign w:val="bottom"/>
            <w:tcBorders>
              <w:top w:val="single" w:sz="8" w:color="CCEEFF"/>
            </w:tcBorders>
            <w:shd w:val="clear" w:color="auto" w:fill="CCEEFF"/>
          </w:tcPr>
          <w:p>
            <w:pPr>
              <w:spacing w:after="0"/>
              <w:rPr>
                <w:sz w:val="16"/>
                <w:szCs w:val="16"/>
                <w:color w:val="auto"/>
              </w:rPr>
            </w:pPr>
          </w:p>
        </w:tc>
        <w:tc>
          <w:tcPr>
            <w:tcW w:w="35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8"/>
              </w:rPr>
              <w:t>BRKHU</w:t>
            </w:r>
          </w:p>
        </w:tc>
        <w:tc>
          <w:tcPr>
            <w:tcW w:w="100" w:type="dxa"/>
            <w:vAlign w:val="bottom"/>
            <w:tcBorders>
              <w:top w:val="single" w:sz="8" w:color="CCEEFF"/>
            </w:tcBorders>
            <w:shd w:val="clear" w:color="auto" w:fill="CCEEFF"/>
          </w:tcPr>
          <w:p>
            <w:pPr>
              <w:spacing w:after="0"/>
              <w:rPr>
                <w:sz w:val="16"/>
                <w:szCs w:val="16"/>
                <w:color w:val="auto"/>
              </w:rPr>
            </w:pPr>
          </w:p>
        </w:tc>
        <w:tc>
          <w:tcPr>
            <w:tcW w:w="3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and one Redeemable Warrant</w:t>
            </w:r>
          </w:p>
        </w:tc>
        <w:tc>
          <w:tcPr>
            <w:tcW w:w="3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par value $0.0001 per share</w:t>
            </w:r>
          </w:p>
        </w:tc>
        <w:tc>
          <w:tcPr>
            <w:tcW w:w="3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BRKH</w:t>
            </w:r>
          </w:p>
        </w:tc>
        <w:tc>
          <w:tcPr>
            <w:tcW w:w="3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02"/>
        </w:trPr>
        <w:tc>
          <w:tcPr>
            <w:tcW w:w="3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Warrants, each exercisable for one share of Common</w:t>
            </w:r>
          </w:p>
        </w:tc>
        <w:tc>
          <w:tcPr>
            <w:tcW w:w="36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8"/>
              </w:rPr>
              <w:t>BRKHW</w:t>
            </w:r>
          </w:p>
        </w:tc>
        <w:tc>
          <w:tcPr>
            <w:tcW w:w="3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for $11.50 per share</w:t>
            </w:r>
          </w:p>
        </w:tc>
        <w:tc>
          <w:tcPr>
            <w:tcW w:w="3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January 31, 2022, BurTech Acquistion Corp. (the “</w:t>
      </w:r>
      <w:r>
        <w:rPr>
          <w:rFonts w:ascii="Arial" w:cs="Arial" w:eastAsia="Arial" w:hAnsi="Arial"/>
          <w:sz w:val="18"/>
          <w:szCs w:val="18"/>
          <w:b w:val="1"/>
          <w:bCs w:val="1"/>
          <w:color w:val="auto"/>
        </w:rPr>
        <w:t>Company</w:t>
      </w:r>
      <w:r>
        <w:rPr>
          <w:rFonts w:ascii="Arial" w:cs="Arial" w:eastAsia="Arial" w:hAnsi="Arial"/>
          <w:sz w:val="18"/>
          <w:szCs w:val="18"/>
          <w:color w:val="auto"/>
        </w:rPr>
        <w:t>”) issued a press release, a copy of which is attached as Exhibit 99.1 to this Current Report on Form 8-K, announcing that the holders of the Company’s units (the “Units”) may elect to separately trade the shares of Class A common stock, par value $0.0001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and warrants (the “</w:t>
      </w:r>
      <w:r>
        <w:rPr>
          <w:rFonts w:ascii="Arial" w:cs="Arial" w:eastAsia="Arial" w:hAnsi="Arial"/>
          <w:sz w:val="18"/>
          <w:szCs w:val="18"/>
          <w:b w:val="1"/>
          <w:bCs w:val="1"/>
          <w:color w:val="auto"/>
        </w:rPr>
        <w:t>Warrants</w:t>
      </w:r>
      <w:r>
        <w:rPr>
          <w:rFonts w:ascii="Arial" w:cs="Arial" w:eastAsia="Arial" w:hAnsi="Arial"/>
          <w:sz w:val="18"/>
          <w:szCs w:val="18"/>
          <w:color w:val="auto"/>
        </w:rPr>
        <w:t>”) included in the Units commencing on or about January 31, 2022. Each Unit consists of one share of Common Stock and one redeemable Warrant. Each Warrant entitles the holder thereof to purchase one share of Common Stock at a price of $11.50 per whole share (subject to adjustment). Any Units not separated will continue to trade on the Nasdaq Capital Market (“</w:t>
      </w:r>
      <w:r>
        <w:rPr>
          <w:rFonts w:ascii="Arial" w:cs="Arial" w:eastAsia="Arial" w:hAnsi="Arial"/>
          <w:sz w:val="18"/>
          <w:szCs w:val="18"/>
          <w:b w:val="1"/>
          <w:bCs w:val="1"/>
          <w:color w:val="auto"/>
        </w:rPr>
        <w:t>Nasdaq</w:t>
      </w:r>
      <w:r>
        <w:rPr>
          <w:rFonts w:ascii="Arial" w:cs="Arial" w:eastAsia="Arial" w:hAnsi="Arial"/>
          <w:sz w:val="18"/>
          <w:szCs w:val="18"/>
          <w:color w:val="auto"/>
        </w:rPr>
        <w:t>”) under the symbol “BRKHU”, and the Common Stock and Warrants will separately trade on Nasdaq under the symbols “BRKH” and “BRKHW”, respectively. No fractional Warrants will be issued upon separation of the Units and only whole Warrants will trade. Holders of Units will need to have their brokers contact Continental Stock Transfer &amp; Trust Company, the Company’s transfer agent, in order to separate the Units into Common Stock and Warrants.</w:t>
      </w:r>
    </w:p>
    <w:p>
      <w:pPr>
        <w:spacing w:after="0" w:line="200" w:lineRule="exact"/>
        <w:rPr>
          <w:sz w:val="20"/>
          <w:szCs w:val="20"/>
          <w:color w:val="auto"/>
        </w:rPr>
      </w:pPr>
    </w:p>
    <w:p>
      <w:pPr>
        <w:spacing w:after="0" w:line="20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being filed herewith: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4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2800" w:type="dxa"/>
            <w:vAlign w:val="bottom"/>
          </w:tcPr>
          <w:p>
            <w:pPr>
              <w:spacing w:after="0"/>
              <w:rPr>
                <w:sz w:val="20"/>
                <w:szCs w:val="20"/>
                <w:color w:val="auto"/>
              </w:rPr>
            </w:pPr>
          </w:p>
        </w:tc>
        <w:tc>
          <w:tcPr>
            <w:tcW w:w="5600" w:type="dxa"/>
            <w:vAlign w:val="bottom"/>
          </w:tcPr>
          <w:p>
            <w:pPr>
              <w:ind w:left="98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2680" w:type="dxa"/>
            <w:vAlign w:val="bottom"/>
            <w:tcBorders>
              <w:top w:val="single" w:sz="8" w:color="auto"/>
            </w:tcBorders>
            <w:gridSpan w:val="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60" w:type="dxa"/>
            <w:vAlign w:val="bottom"/>
            <w:tcBorders>
              <w:top w:val="single" w:sz="8" w:color="CCEEFF"/>
            </w:tcBorders>
            <w:shd w:val="clear" w:color="auto" w:fill="CCEEFF"/>
          </w:tcPr>
          <w:p>
            <w:pPr>
              <w:spacing w:after="0"/>
              <w:rPr>
                <w:sz w:val="17"/>
                <w:szCs w:val="17"/>
                <w:color w:val="auto"/>
              </w:rPr>
            </w:pPr>
          </w:p>
        </w:tc>
        <w:tc>
          <w:tcPr>
            <w:tcW w:w="8400" w:type="dxa"/>
            <w:vAlign w:val="bottom"/>
            <w:tcBorders>
              <w:top w:val="single" w:sz="8" w:color="auto"/>
            </w:tcBorders>
            <w:gridSpan w:val="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January 31, 2022.</w:t>
              </w:r>
            </w:hyperlink>
          </w:p>
        </w:tc>
      </w:tr>
      <w:tr>
        <w:trPr>
          <w:trHeight w:val="891"/>
        </w:trPr>
        <w:tc>
          <w:tcPr>
            <w:tcW w:w="320" w:type="dxa"/>
            <w:vAlign w:val="bottom"/>
            <w:tcBorders>
              <w:top w:val="single" w:sz="8" w:color="0000EE"/>
              <w:bottom w:val="single" w:sz="8" w:color="auto"/>
            </w:tcBorders>
          </w:tcPr>
          <w:p>
            <w:pPr>
              <w:spacing w:after="0"/>
              <w:rPr>
                <w:sz w:val="24"/>
                <w:szCs w:val="24"/>
                <w:color w:val="auto"/>
              </w:rPr>
            </w:pPr>
          </w:p>
        </w:tc>
        <w:tc>
          <w:tcPr>
            <w:tcW w:w="23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800" w:type="dxa"/>
            <w:vAlign w:val="bottom"/>
            <w:tcBorders>
              <w:top w:val="single" w:sz="8" w:color="0000EE"/>
              <w:bottom w:val="single" w:sz="8" w:color="auto"/>
            </w:tcBorders>
          </w:tcPr>
          <w:p>
            <w:pPr>
              <w:spacing w:after="0"/>
              <w:rPr>
                <w:sz w:val="24"/>
                <w:szCs w:val="24"/>
                <w:color w:val="auto"/>
              </w:rPr>
            </w:pPr>
          </w:p>
        </w:tc>
        <w:tc>
          <w:tcPr>
            <w:tcW w:w="56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12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BURTECH ACQUISITION CORP.</w:t>
      </w:r>
    </w:p>
    <w:p>
      <w:pPr>
        <w:spacing w:after="0" w:line="229" w:lineRule="exact"/>
        <w:rPr>
          <w:sz w:val="20"/>
          <w:szCs w:val="20"/>
          <w:color w:val="auto"/>
        </w:rPr>
      </w:pPr>
    </w:p>
    <w:p>
      <w:pPr>
        <w:ind w:left="5600"/>
        <w:spacing w:after="0"/>
        <w:tabs>
          <w:tab w:leader="none" w:pos="6060" w:val="left"/>
        </w:tabs>
        <w:rPr>
          <w:sz w:val="20"/>
          <w:szCs w:val="20"/>
          <w:color w:val="auto"/>
        </w:rPr>
      </w:pPr>
      <w:r>
        <w:rPr>
          <w:rFonts w:ascii="Arial" w:cs="Arial" w:eastAsia="Arial" w:hAnsi="Arial"/>
          <w:sz w:val="18"/>
          <w:szCs w:val="18"/>
          <w:color w:val="auto"/>
        </w:rPr>
        <w:t>By:</w:t>
        <w:tab/>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16370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Shahal Khan</w:t>
      </w:r>
    </w:p>
    <w:p>
      <w:pPr>
        <w:spacing w:after="0" w:line="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Date: January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 Announces the Separate Trading of its Class A Common Stock and Warrants, Commencing</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New York, NY – January 31, 2022 </w:t>
      </w:r>
      <w:r>
        <w:rPr>
          <w:rFonts w:ascii="Arial" w:cs="Arial" w:eastAsia="Arial" w:hAnsi="Arial"/>
          <w:sz w:val="18"/>
          <w:szCs w:val="18"/>
          <w:color w:val="auto"/>
        </w:rPr>
        <w:t>– BurTech Acquisition Corp. (the “Company”) announced today commencing January 31, 2022, holders of the units</w:t>
      </w:r>
      <w:r>
        <w:rPr>
          <w:rFonts w:ascii="Arial" w:cs="Arial" w:eastAsia="Arial" w:hAnsi="Arial"/>
          <w:sz w:val="18"/>
          <w:szCs w:val="18"/>
          <w:b w:val="1"/>
          <w:bCs w:val="1"/>
          <w:color w:val="auto"/>
        </w:rPr>
        <w:t xml:space="preserve"> </w:t>
      </w:r>
      <w:r>
        <w:rPr>
          <w:rFonts w:ascii="Arial" w:cs="Arial" w:eastAsia="Arial" w:hAnsi="Arial"/>
          <w:sz w:val="18"/>
          <w:szCs w:val="18"/>
          <w:color w:val="auto"/>
        </w:rPr>
        <w:t>sold in the Company’s initial public offering completed on December 15, 2021, may elect to separately trade the shares of Class A common stock and warrants included in such units on The Nasdaq Capital Market (“Nasdaq”).</w:t>
      </w:r>
    </w:p>
    <w:p>
      <w:pPr>
        <w:spacing w:after="0" w:line="18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No fractional warrants will be issued upon separation of the units and only whole warrants will trade. The Class A common stock and warrants that are separated will trade on Nasdaq under the symbols “BRKH" and "BRKHW," respectively. Those units not separated will continue to trade on Nasdaq under the symbol “BRKHU.” Holders of units will need to have their brokers contact Continental Stock Transfer &amp; Trust Company, the Company’s transfer agent, in order to separate the units into shares of Class A common stock and warrants. Once the securities comprising the units begin separate trading, the shares of Class A common stock and warrants are expected to be listed on Nasdaq under the symbols “BRKH” and “BRKHW” respectively.</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units were initially offered by the Company in an underwritten offering by EF Hutton, division of Benchmark Investments LLC, 590 Madison Ave., 39</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NY 10022, Attention: Syndicate Department, or via email at syndicate@efhuttongroup.com or telephone at (212) 404-7002.</w:t>
      </w:r>
    </w:p>
    <w:p>
      <w:pPr>
        <w:spacing w:after="0" w:line="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 Hutton acted as sole book-running manager of the offering. A registration statement relating to these securities was declared effective by the U.S. Securities and Exchange Commission (the "SEC") on December 10, 2021. The offering was made only by means of a prospectus, copies of which may be obtained through the SEC's website at www.sec.gov.</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a blank check company whose business purpose is to effect a merger, capital stock exchange, asset acquisition, stock purchase, reorganization or similar business combination with one or more businesses or entities. The Company has not selected a business combination target and has not, nor has anyone on its behalf, initiated any substantive discussions, directly or indirectly, with any business combination target. The Company intends to focus its search for a target business in the retail, lifestyle, hospitality, technology, or real estate markets. The Company is led by its Chief Executive Officer, Shahal Khan.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press release contains statements that constitute "forward-looking statements," including with respect to the Company's initial public offering and the anticipated use of the net proceeds thereof. Forward-looking statements are subject to numerous conditions, many of which are beyond the control of the Company, including those set forth in the Risk Factors section of the Company's registration statement and final prospectus for the offering filed with the SEC. Copies are available on the SEC's website, www.sec.gov. The Company undertakes no obligation to update these statements for revisions or changes after the date of this release, except as required by law.</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BurTech 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33333"/>
        </w:rPr>
        <w:t>1300 Pennsylvania Avenue NW, Suite 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33333"/>
        </w:rPr>
        <w:t>Washington, DC 20004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333333"/>
        </w:rPr>
        <w:t>Camille Chetrit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33333"/>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33333"/>
        </w:rPr>
        <w:t>investors@burtechacq.us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33333"/>
        </w:rPr>
        <w:t>(908) 530-8928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2022-01-31T15:37:44Z</dcterms:created>
  <dcterms:modified xsi:type="dcterms:W3CDTF">2022-01-31T15:37:44Z</dcterms:modified>
</cp:coreProperties>
</file>