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Blaize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123013104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123013104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Trust Merger Arbitrage Fund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123013104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Trust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123013104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Trust Capital Solutions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123013104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FTCS Sub GP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20"/>
          </w:cols>
          <w:pgMar w:left="360" w:top="126"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Blaize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7770 NORFOLK AVE, BETHESDA, MD, 20814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00"/>
        <w:spacing w:after="0" w:line="247" w:lineRule="auto"/>
        <w:rPr>
          <w:sz w:val="20"/>
          <w:szCs w:val="20"/>
          <w:color w:val="auto"/>
        </w:rPr>
      </w:pPr>
      <w:r>
        <w:rPr>
          <w:rFonts w:ascii="Times New Roman" w:cs="Times New Roman" w:eastAsia="Times New Roman" w:hAnsi="Times New Roman"/>
          <w:sz w:val="21"/>
          <w:szCs w:val="21"/>
          <w:color w:val="auto"/>
        </w:rPr>
        <w:t>This Schedule 13G/A is being filed jointly by First Trust Merger Arbitrage Fund ("VARBX"), First Trust Capital Management L.P. ("FTCM"), First Trust Capital Solutions L.P. ("FTCS") and FTCS Sub GP LLC ("Sub GP"). (1) VARBX, a series of Investment Managers Series Trust II, an investment company registered under the Investment Company Act of 1940. (2) FTCM, an investment adviser registered with the SEC that provides investment advisory</w:t>
      </w:r>
    </w:p>
    <w:p>
      <w:pPr>
        <w:spacing w:after="0" w:line="2" w:lineRule="exact"/>
        <w:rPr>
          <w:sz w:val="20"/>
          <w:szCs w:val="20"/>
          <w:color w:val="auto"/>
        </w:rPr>
      </w:pPr>
    </w:p>
    <w:p>
      <w:pPr>
        <w:ind w:left="920" w:right="2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services to, among others, (i) series of Investment Managers Series Trust II, an investment company registered under the Investment Company Act of 1940, specifically First Trust Multi-Strategy Fund and VARBX and (ii) Highland Capital Management Institutional Fund II, LLC, a Delaware limited liability company (collectively, the "Client Accounts"). (3) FTCS, a Delaware limited partnership and control person of FTCM. (4) Sub GP, a Delaware limited liability company and control person of FTCM. Each of the persons identified herein is referred to as a "Reporting Person" and, collectively, as the "Reporting Persons." Each of the Reporting Persons is a party to that certain Joint Filing Agreement attached hereto.</w:t>
      </w:r>
    </w:p>
    <w:p>
      <w:pPr>
        <w:spacing w:after="0" w:line="1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principal business address of FTCM, FTCS and Sub GP is 225 W. Wacker Drive, 21st Floor, Chicago, IL 60606. The principal business address of VARBX is 235 West Galena Street, Milwaukee, WI 53212.</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40"/>
          </w:cols>
          <w:pgMar w:left="360" w:top="126" w:right="49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123013104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40"/>
        <w:spacing w:after="0" w:line="253" w:lineRule="auto"/>
        <w:rPr>
          <w:sz w:val="20"/>
          <w:szCs w:val="20"/>
          <w:color w:val="auto"/>
        </w:rPr>
      </w:pPr>
      <w:r>
        <w:rPr>
          <w:rFonts w:ascii="Times New Roman" w:cs="Times New Roman" w:eastAsia="Times New Roman" w:hAnsi="Times New Roman"/>
          <w:sz w:val="21"/>
          <w:szCs w:val="21"/>
          <w:color w:val="auto"/>
        </w:rPr>
        <w:t>As investment adviser to the Client Accounts, FTCM has the authority to invest the funds of the Client Accounts in securities (including Common Shares of Blaize Holdings, Inc. (f/k/a BurTech Acquisition Corp.) ("the Issuer")) as</w:t>
      </w:r>
    </w:p>
    <w:p>
      <w:pPr>
        <w:spacing w:after="0" w:line="1" w:lineRule="exact"/>
        <w:rPr>
          <w:sz w:val="20"/>
          <w:szCs w:val="20"/>
          <w:color w:val="auto"/>
        </w:rPr>
      </w:pPr>
    </w:p>
    <w:p>
      <w:pPr>
        <w:ind w:left="920" w:right="80" w:hanging="912"/>
        <w:spacing w:after="0" w:line="201"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well as the authority to purchase, vote and dispose of securities, and may thus be deemed the beneficial owner of any shares of the Issuer's Common Shares held in the Client Accounts. As of December 31, 2024 VARBX, FTCM, FTCS and Sub GP collectively owned 0 shares of the outstanding Common Shares of the Issuer. FTCS and Sub GP may be deemed to control FTCM and therefore may be deemed to be beneficial owners of the Common Shares reported in this Schedule 13G/A. No one individual controls FTCS or Sub GP. FTCS and Sub GP do not own any Common Shares of the Issuer for their own accounts.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VARBX: 0 FTCM, FTCS and Sub GP: 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VARBX: 0 FTCM, FTCS and Sub GP: 0</w:t>
      </w:r>
    </w:p>
    <w:p>
      <w:pPr>
        <w:spacing w:after="0" w:line="287" w:lineRule="exact"/>
        <w:rPr>
          <w:sz w:val="20"/>
          <w:szCs w:val="20"/>
          <w:color w:val="auto"/>
        </w:rPr>
      </w:pPr>
    </w:p>
    <w:p>
      <w:pPr>
        <w:ind w:left="920" w:right="6240" w:firstLine="6"/>
        <w:spacing w:after="0" w:line="509" w:lineRule="auto"/>
        <w:tabs>
          <w:tab w:leader="none" w:pos="123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VARBX: 0 FTCM, FTCS and Sub GP: 0</w:t>
      </w:r>
    </w:p>
    <w:p>
      <w:pPr>
        <w:spacing w:after="0" w:line="1" w:lineRule="exact"/>
        <w:rPr>
          <w:rFonts w:ascii="Times New Roman" w:cs="Times New Roman" w:eastAsia="Times New Roman" w:hAnsi="Times New Roman"/>
          <w:sz w:val="21"/>
          <w:szCs w:val="21"/>
          <w:color w:val="auto"/>
        </w:rPr>
      </w:pPr>
    </w:p>
    <w:p>
      <w:pPr>
        <w:ind w:left="920" w:right="532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VARBX: 0 FTCM, FTCS and Sub GP: 0</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VARBX: 0 FTCM, FTCS and Sub GP: 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w:t>
      </w:r>
    </w:p>
    <w:p>
      <w:pPr>
        <w:sectPr>
          <w:pgSz w:w="11900" w:h="16838" w:orient="portrait"/>
          <w:cols w:equalWidth="0" w:num="1">
            <w:col w:w="11140"/>
          </w:cols>
          <w:pgMar w:left="360" w:top="112" w:right="3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Item 4.</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Item 2.</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acquired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and are held in the ordinary course of business and were not acquired and are not held for the purpose of or with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connection with a nomination under ?? 240.14a-11.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First Trust Merger Arbitrage Fund</w:t>
      </w:r>
    </w:p>
    <w:p>
      <w:pPr>
        <w:spacing w:after="0" w:line="152"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Joy Ausili</w:t>
      </w:r>
    </w:p>
    <w:p>
      <w:pPr>
        <w:spacing w:after="0" w:line="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22"/>
          <w:szCs w:val="22"/>
          <w:color w:val="auto"/>
        </w:rPr>
        <w:t>Name/Title: Trustee, Vice President and Assistant Secretary</w:t>
      </w:r>
    </w:p>
    <w:p>
      <w:pPr>
        <w:spacing w:after="0" w:line="44" w:lineRule="exact"/>
        <w:rPr>
          <w:sz w:val="20"/>
          <w:szCs w:val="20"/>
          <w:color w:val="auto"/>
        </w:rPr>
      </w:pPr>
    </w:p>
    <w:p>
      <w:pPr>
        <w:ind w:left="5360"/>
        <w:spacing w:after="0"/>
        <w:tabs>
          <w:tab w:leader="none" w:pos="6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color w:val="auto"/>
        </w:rPr>
        <w:t>First Trust Capital Management L.P.</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Chad Eisenberg</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Chief Operating Officer</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First Trust Capital Solutions L.P.</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Chad Eisenberg</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Chief Operating Officer</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FTCS Sub GP LLC</w:t>
      </w:r>
    </w:p>
    <w:p>
      <w:pPr>
        <w:spacing w:after="0" w:line="152"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Chad Eisenberg</w:t>
      </w:r>
    </w:p>
    <w:p>
      <w:pPr>
        <w:spacing w:after="0" w:line="4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Name/Title: Chief Operating Officer</w:t>
      </w:r>
    </w:p>
    <w:p>
      <w:pPr>
        <w:spacing w:after="0" w:line="44" w:lineRule="exact"/>
        <w:rPr>
          <w:sz w:val="20"/>
          <w:szCs w:val="20"/>
          <w:color w:val="auto"/>
        </w:rPr>
      </w:pPr>
    </w:p>
    <w:p>
      <w:pPr>
        <w:ind w:left="336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83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Joint Filing Statement</w:t>
      </w:r>
    </w:p>
    <w:p>
      <w:pPr>
        <w:sectPr>
          <w:pgSz w:w="11900" w:h="16838" w:orient="portrait"/>
          <w:cols w:equalWidth="0" w:num="1">
            <w:col w:w="11140"/>
          </w:cols>
          <w:pgMar w:left="360" w:top="102"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I</w:t>
      </w: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JOINT FILING STATEMENT</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RULE 13d-1(k)</w:t>
      </w:r>
    </w:p>
    <w:p>
      <w:pPr>
        <w:spacing w:after="0" w:line="21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2025</w:t>
      </w:r>
    </w:p>
    <w:p>
      <w:pPr>
        <w:spacing w:after="0" w:line="21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First Trust Merger Arbitrage Fund</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Joy Ausili</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Joy Ausili, Trustee, Vice President and Assistant Secretary</w:t>
      </w:r>
    </w:p>
    <w:p>
      <w:pPr>
        <w:spacing w:after="0" w:line="19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First Trust Capital Management L.P.</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Chad Eisenberg</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Chad Eisenberg, Chief Operating Officer</w:t>
      </w: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First Trust Capital Solutions L.P.</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Chad Eisenberg</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Chad Eisenberg, Chief Operating Officer</w:t>
      </w:r>
    </w:p>
    <w:p>
      <w:pPr>
        <w:spacing w:after="0" w:line="200" w:lineRule="exact"/>
        <w:rPr>
          <w:sz w:val="20"/>
          <w:szCs w:val="20"/>
          <w:color w:val="auto"/>
        </w:rPr>
      </w:pPr>
    </w:p>
    <w:p>
      <w:pPr>
        <w:spacing w:after="0" w:line="21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FTCS Sub GP LLC</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Chad Eisenberg</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Chad Eisenberg, Chief Operating Officer</w:t>
      </w:r>
    </w:p>
    <w:sectPr>
      <w:pgSz w:w="11900" w:h="16838" w:orient="portrait"/>
      <w:cols w:equalWidth="0" w:num="1">
        <w:col w:w="11180"/>
      </w:cols>
      <w:pgMar w:left="320" w:top="11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2025-02-14T14:08:26Z</dcterms:created>
  <dcterms:modified xsi:type="dcterms:W3CDTF">2025-02-14T14:08:26Z</dcterms:modified>
</cp:coreProperties>
</file>