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SEC Form 4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-240665</wp:posOffset>
            </wp:positionV>
            <wp:extent cx="114300" cy="1143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208280</wp:posOffset>
            </wp:positionV>
            <wp:extent cx="114300" cy="1143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34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5960" w:type="dxa"/>
            <w:vAlign w:val="bottom"/>
          </w:tcPr>
          <w:p>
            <w:pPr>
              <w:jc w:val="center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5960" w:type="dxa"/>
            <w:vAlign w:val="bottom"/>
          </w:tcPr>
          <w:p>
            <w:pPr>
              <w:jc w:val="center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5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Estimated average burden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9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5960" w:type="dxa"/>
            <w:vAlign w:val="bottom"/>
          </w:tcPr>
          <w:p>
            <w:pPr>
              <w:jc w:val="center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3776980</wp:posOffset>
            </wp:positionH>
            <wp:positionV relativeFrom="paragraph">
              <wp:posOffset>-744855</wp:posOffset>
            </wp:positionV>
            <wp:extent cx="1290955" cy="6197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619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-1633855</wp:posOffset>
            </wp:positionH>
            <wp:positionV relativeFrom="paragraph">
              <wp:posOffset>664210</wp:posOffset>
            </wp:positionV>
            <wp:extent cx="6732905" cy="41414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2905" cy="4141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3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2240" w:space="320"/>
            <w:col w:w="8000"/>
          </w:cols>
          <w:pgMar w:left="660" w:top="556" w:right="680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2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 xml:space="preserve">1. Name and Address of Reporting Person </w:t>
            </w:r>
            <w:r>
              <w:rPr>
                <w:rFonts w:ascii="Arial" w:cs="Arial" w:eastAsia="Arial" w:hAnsi="Arial"/>
                <w:sz w:val="19"/>
                <w:szCs w:val="19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3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>Frank Edward H.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Blaize Holdings,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BZAI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12/03/2025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BLAIZE HOLDINGS, INC.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4659 GOLDEN FOOTHILL PARKWAY, SUITE 206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1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EL DORADO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95762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3"/>
              </w:rPr>
              <w:t>Following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12/03/2025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75,258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378,757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760" w:type="dxa"/>
            <w:vAlign w:val="bottom"/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60" w:type="dxa"/>
            <w:vAlign w:val="bottom"/>
            <w:gridSpan w:val="10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 of Derivative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3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Beneficially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80" w:lineRule="auto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Represents an award of restricted stock units granted at the Issuer's 2025 Annual Meeting under the Non-Employee Director Compensation Program, which vest at the ealier of one year or the Issuer's next Annual Meeting.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18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Includes 90,999 Earn-Out Shares, each of which represents a contingent right to receive one share of Common Stock if the trading price of the Issuer's Common Stock exceeds certain thresholds.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63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Harminder Sehmi, as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12/05/2025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15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Attorney-in-Fact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87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40" w:orient="portrait"/>
      <w:cols w:equalWidth="0" w:num="1">
        <w:col w:w="10560"/>
      </w:cols>
      <w:pgMar w:left="660" w:top="556" w:right="68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716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2025-12-05T16:07:24Z</dcterms:created>
  <dcterms:modified xsi:type="dcterms:W3CDTF">2025-12-05T16:07:24Z</dcterms:modified>
</cp:coreProperties>
</file>