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3969d424b3.htm"/>
        <w:bookmarkStart w:id="1" w:name="ksd63969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424(b)(3) </w:t>
        <w:br/>
        <w:t xml:space="preserve">SEC File No. 333-284365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NO. 3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13,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3267075"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67075" cy="11049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Blaize Holdings, Inc. </w:t>
      </w:r>
    </w:p>
    <w:p>
      <w:pPr>
        <w:pStyle w:val="TextBody"/>
        <w:bidi w:val="0"/>
        <w:spacing w:before="240" w:after="0"/>
        <w:jc w:val="center"/>
        <w:rPr>
          <w:rFonts w:ascii="Times New Roman" w:hAnsi="Times New Roman"/>
          <w:b/>
          <w:sz w:val="28"/>
        </w:rPr>
      </w:pPr>
      <w:r>
        <w:rPr>
          <w:rFonts w:ascii="Times New Roman" w:hAnsi="Times New Roman"/>
          <w:b/>
          <w:sz w:val="28"/>
        </w:rPr>
        <w:t xml:space="preserve">89,550,141 Shares of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898,250 Warrants to Purchase Shares of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29,698,250 Shares of Common Stock Issuable Upon Exercise of 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updates, amends and supplements the prospectus dated February 13, 2025 (as supplemented or amended from time to time, the Prospectus), which forms a part of our Registration Statement on Form S-1 (Registration No. 333-284365). Capitalized terms used in this prospectus supplement and not otherwise defined herein have the meanings specified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being filed to update, amend and supplement the information included in the Prospectus with information contained in our Current Report on Form 10-Q filed with the SEC on May 14, 2025, which is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and Warrants are listed on the Nasdaq Stock Market LLC under the trading symbols BZAI and BZAIW, respectively. On June 2, 2025, the closing prices for our Common Stock and Warrants on the Nasdaq Stock Market LLC were $2.03 per share of Common Stock and $0.20 per Warrant.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Investing in our securities involves a high degree of risk. See </w:t>
      </w:r>
      <w:r>
        <w:rPr>
          <w:rFonts w:ascii="Times New Roman" w:hAnsi="Times New Roman"/>
          <w:b/>
          <w:sz w:val="24"/>
          <w:u w:val="single"/>
        </w:rPr>
        <w:t>Risk Factors</w:t>
      </w:r>
      <w:r>
        <w:rPr>
          <w:rFonts w:ascii="Times New Roman" w:hAnsi="Times New Roman"/>
          <w:b/>
          <w:sz w:val="24"/>
        </w:rPr>
        <w:t xml:space="preserve"> beginning on page 6 of the Prospectus and other risk factors contained in the documents incorporated by reference therein for a discussion of information that should be considered in connection with an investment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the Prospectus or this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June 3,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10-Q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quarterly period ended March 31, 2025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to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001-41139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Blaize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86-2708752</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4659 Golden Foothill Parkway, Suite 206</w:t>
            </w:r>
          </w:p>
          <w:p>
            <w:pPr>
              <w:pStyle w:val="TableContents"/>
              <w:bidi w:val="0"/>
              <w:spacing w:before="0" w:after="20"/>
              <w:jc w:val="center"/>
              <w:rPr>
                <w:rFonts w:ascii="Times New Roman" w:hAnsi="Times New Roman"/>
                <w:b/>
                <w:sz w:val="20"/>
              </w:rPr>
            </w:pPr>
            <w:r>
              <w:rPr>
                <w:rFonts w:ascii="Times New Roman" w:hAnsi="Times New Roman"/>
                <w:b/>
                <w:sz w:val="20"/>
              </w:rPr>
              <w:t>El Dorado Hills, CA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95762</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(916) 347-0050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1"/>
        <w:gridCol w:w="121"/>
        <w:gridCol w:w="3229"/>
        <w:gridCol w:w="121"/>
        <w:gridCol w:w="3123"/>
      </w:tblGrid>
      <w:tr>
        <w:trPr/>
        <w:tc>
          <w:tcPr>
            <w:tcW w:w="361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r>
      <w:tr>
        <w:trPr/>
        <w:tc>
          <w:tcPr>
            <w:tcW w:w="36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21" w:type="dxa"/>
            <w:tcBorders/>
            <w:vAlign w:val="bottom"/>
          </w:tcPr>
          <w:p>
            <w:pPr>
              <w:pStyle w:val="TableContents"/>
              <w:bidi w:val="0"/>
              <w:spacing w:before="0" w:after="283"/>
              <w:jc w:val="left"/>
              <w:rPr/>
            </w:pPr>
            <w:r>
              <w:rPr/>
              <w:t>  </w:t>
            </w:r>
          </w:p>
        </w:tc>
        <w:tc>
          <w:tcPr>
            <w:tcW w:w="322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21" w:type="dxa"/>
            <w:tcBorders/>
            <w:vAlign w:val="bottom"/>
          </w:tcPr>
          <w:p>
            <w:pPr>
              <w:pStyle w:val="TableContents"/>
              <w:bidi w:val="0"/>
              <w:spacing w:before="0" w:after="283"/>
              <w:jc w:val="left"/>
              <w:rPr/>
            </w:pPr>
            <w:r>
              <w:rPr/>
              <w:t>  </w:t>
            </w:r>
          </w:p>
        </w:tc>
        <w:tc>
          <w:tcPr>
            <w:tcW w:w="312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611" w:type="dxa"/>
            <w:tcBorders/>
          </w:tcPr>
          <w:p>
            <w:pPr>
              <w:pStyle w:val="TableContents"/>
              <w:bidi w:val="0"/>
              <w:spacing w:before="0" w:after="283"/>
              <w:jc w:val="center"/>
              <w:rPr>
                <w:b/>
              </w:rPr>
            </w:pPr>
            <w:r>
              <w:rPr>
                <w:b/>
              </w:rPr>
              <w:t>Common stock, par value $0.0001 per share</w:t>
            </w:r>
          </w:p>
        </w:tc>
        <w:tc>
          <w:tcPr>
            <w:tcW w:w="121" w:type="dxa"/>
            <w:tcBorders/>
            <w:vAlign w:val="bottom"/>
          </w:tcPr>
          <w:p>
            <w:pPr>
              <w:pStyle w:val="TableContents"/>
              <w:bidi w:val="0"/>
              <w:spacing w:before="0" w:after="283"/>
              <w:jc w:val="left"/>
              <w:rPr/>
            </w:pPr>
            <w:r>
              <w:rPr/>
              <w:t>  </w:t>
            </w:r>
          </w:p>
        </w:tc>
        <w:tc>
          <w:tcPr>
            <w:tcW w:w="3229" w:type="dxa"/>
            <w:tcBorders/>
          </w:tcPr>
          <w:p>
            <w:pPr>
              <w:pStyle w:val="TableContents"/>
              <w:bidi w:val="0"/>
              <w:spacing w:before="0" w:after="283"/>
              <w:jc w:val="center"/>
              <w:rPr>
                <w:b/>
              </w:rPr>
            </w:pPr>
            <w:r>
              <w:rPr>
                <w:b/>
              </w:rPr>
              <w:t>BZAI</w:t>
            </w:r>
          </w:p>
        </w:tc>
        <w:tc>
          <w:tcPr>
            <w:tcW w:w="121" w:type="dxa"/>
            <w:tcBorders/>
            <w:vAlign w:val="bottom"/>
          </w:tcPr>
          <w:p>
            <w:pPr>
              <w:pStyle w:val="TableContents"/>
              <w:bidi w:val="0"/>
              <w:spacing w:before="0" w:after="283"/>
              <w:jc w:val="left"/>
              <w:rPr/>
            </w:pPr>
            <w:r>
              <w:rPr/>
              <w:t>  </w:t>
            </w:r>
          </w:p>
        </w:tc>
        <w:tc>
          <w:tcPr>
            <w:tcW w:w="3123" w:type="dxa"/>
            <w:tcBorders/>
          </w:tcPr>
          <w:p>
            <w:pPr>
              <w:pStyle w:val="TableContents"/>
              <w:bidi w:val="0"/>
              <w:spacing w:before="0" w:after="283"/>
              <w:jc w:val="center"/>
              <w:rPr>
                <w:b/>
              </w:rPr>
            </w:pPr>
            <w:r>
              <w:rPr>
                <w:b/>
              </w:rPr>
              <w:t>The Nasdaq Stock Market</w:t>
            </w:r>
          </w:p>
        </w:tc>
      </w:tr>
      <w:tr>
        <w:trPr/>
        <w:tc>
          <w:tcPr>
            <w:tcW w:w="3611" w:type="dxa"/>
            <w:tcBorders/>
          </w:tcPr>
          <w:p>
            <w:pPr>
              <w:pStyle w:val="TableContents"/>
              <w:bidi w:val="0"/>
              <w:spacing w:before="0" w:after="283"/>
              <w:jc w:val="center"/>
              <w:rPr>
                <w:b/>
              </w:rPr>
            </w:pPr>
            <w:r>
              <w:rPr>
                <w:b/>
              </w:rPr>
              <w:t>Warrants, each whole warrant exercisable for one share of common stock at an exercise price of $11.50 per share</w:t>
            </w:r>
          </w:p>
        </w:tc>
        <w:tc>
          <w:tcPr>
            <w:tcW w:w="121" w:type="dxa"/>
            <w:tcBorders/>
            <w:vAlign w:val="bottom"/>
          </w:tcPr>
          <w:p>
            <w:pPr>
              <w:pStyle w:val="TableContents"/>
              <w:bidi w:val="0"/>
              <w:spacing w:before="0" w:after="283"/>
              <w:jc w:val="left"/>
              <w:rPr/>
            </w:pPr>
            <w:r>
              <w:rPr/>
              <w:t>  </w:t>
            </w:r>
          </w:p>
        </w:tc>
        <w:tc>
          <w:tcPr>
            <w:tcW w:w="3229" w:type="dxa"/>
            <w:tcBorders/>
          </w:tcPr>
          <w:p>
            <w:pPr>
              <w:pStyle w:val="TableContents"/>
              <w:bidi w:val="0"/>
              <w:spacing w:before="0" w:after="283"/>
              <w:jc w:val="center"/>
              <w:rPr>
                <w:b/>
              </w:rPr>
            </w:pPr>
            <w:r>
              <w:rPr>
                <w:b/>
              </w:rPr>
              <w:t>BZAIW</w:t>
            </w:r>
          </w:p>
        </w:tc>
        <w:tc>
          <w:tcPr>
            <w:tcW w:w="121" w:type="dxa"/>
            <w:tcBorders/>
            <w:vAlign w:val="bottom"/>
          </w:tcPr>
          <w:p>
            <w:pPr>
              <w:pStyle w:val="TableContents"/>
              <w:bidi w:val="0"/>
              <w:spacing w:before="0" w:after="283"/>
              <w:jc w:val="left"/>
              <w:rPr/>
            </w:pPr>
            <w:r>
              <w:rPr/>
              <w:t>  </w:t>
            </w:r>
          </w:p>
        </w:tc>
        <w:tc>
          <w:tcPr>
            <w:tcW w:w="3123" w:type="dxa"/>
            <w:tcBorders/>
          </w:tcPr>
          <w:p>
            <w:pPr>
              <w:pStyle w:val="TableContents"/>
              <w:bidi w:val="0"/>
              <w:spacing w:before="0" w:after="283"/>
              <w:jc w:val="center"/>
              <w:rPr>
                <w:b/>
              </w:rPr>
            </w:pPr>
            <w:r>
              <w:rPr>
                <w:b/>
              </w:rPr>
              <w:t>The Nasdaq Stock 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18"/>
        <w:gridCol w:w="102"/>
        <w:gridCol w:w="4320"/>
        <w:gridCol w:w="126"/>
        <w:gridCol w:w="2685"/>
        <w:gridCol w:w="102"/>
        <w:gridCol w:w="252"/>
      </w:tblGrid>
      <w:tr>
        <w:trPr/>
        <w:tc>
          <w:tcPr>
            <w:tcW w:w="261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32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618" w:type="dxa"/>
            <w:tcBorders/>
            <w:vAlign w:val="bottom"/>
          </w:tcPr>
          <w:p>
            <w:pPr>
              <w:pStyle w:val="TableContents"/>
              <w:bidi w:val="0"/>
              <w:spacing w:before="0" w:after="283"/>
              <w:jc w:val="left"/>
              <w:rPr/>
            </w:pPr>
            <w:r>
              <w:rPr/>
              <w:t>Large accelerated filer</w:t>
            </w:r>
          </w:p>
        </w:tc>
        <w:tc>
          <w:tcPr>
            <w:tcW w:w="102"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85" w:type="dxa"/>
            <w:tcBorders/>
            <w:vAlign w:val="bottom"/>
          </w:tcPr>
          <w:p>
            <w:pPr>
              <w:pStyle w:val="TableContents"/>
              <w:bidi w:val="0"/>
              <w:spacing w:before="0" w:after="283"/>
              <w:jc w:val="left"/>
              <w:rPr/>
            </w:pPr>
            <w:r>
              <w:rPr/>
              <w:t>Accelerated filer</w:t>
            </w:r>
          </w:p>
        </w:tc>
        <w:tc>
          <w:tcPr>
            <w:tcW w:w="10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4422" w:type="dxa"/>
            <w:gridSpan w:val="2"/>
            <w:tcBorders/>
            <w:vAlign w:val="center"/>
          </w:tcPr>
          <w:p>
            <w:pPr>
              <w:pStyle w:val="TableContents"/>
              <w:bidi w:val="0"/>
              <w:spacing w:before="0" w:after="283"/>
              <w:jc w:val="left"/>
              <w:rPr>
                <w:sz w:val="4"/>
                <w:szCs w:val="4"/>
              </w:rPr>
            </w:pPr>
            <w:r>
              <w:rPr>
                <w:sz w:val="4"/>
                <w:szCs w:val="4"/>
              </w:rPr>
            </w:r>
          </w:p>
        </w:tc>
        <w:tc>
          <w:tcPr>
            <w:tcW w:w="2811" w:type="dxa"/>
            <w:gridSpan w:val="2"/>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vAlign w:val="bottom"/>
          </w:tcPr>
          <w:p>
            <w:pPr>
              <w:pStyle w:val="TableContents"/>
              <w:bidi w:val="0"/>
              <w:spacing w:before="0" w:after="283"/>
              <w:jc w:val="left"/>
              <w:rPr/>
            </w:pPr>
            <w:r>
              <w:rPr/>
              <w:t>Non-accelerated filer</w:t>
            </w:r>
          </w:p>
        </w:tc>
        <w:tc>
          <w:tcPr>
            <w:tcW w:w="102"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85" w:type="dxa"/>
            <w:tcBorders/>
            <w:vAlign w:val="bottom"/>
          </w:tcPr>
          <w:p>
            <w:pPr>
              <w:pStyle w:val="TableContents"/>
              <w:bidi w:val="0"/>
              <w:spacing w:before="0" w:after="283"/>
              <w:jc w:val="left"/>
              <w:rPr/>
            </w:pPr>
            <w:r>
              <w:rPr/>
              <w:t>Smaller reporting company</w:t>
            </w:r>
          </w:p>
        </w:tc>
        <w:tc>
          <w:tcPr>
            <w:tcW w:w="10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4422" w:type="dxa"/>
            <w:gridSpan w:val="2"/>
            <w:tcBorders/>
            <w:vAlign w:val="center"/>
          </w:tcPr>
          <w:p>
            <w:pPr>
              <w:pStyle w:val="TableContents"/>
              <w:bidi w:val="0"/>
              <w:spacing w:before="0" w:after="283"/>
              <w:jc w:val="left"/>
              <w:rPr>
                <w:sz w:val="4"/>
                <w:szCs w:val="4"/>
              </w:rPr>
            </w:pPr>
            <w:r>
              <w:rPr>
                <w:sz w:val="4"/>
                <w:szCs w:val="4"/>
              </w:rPr>
            </w:r>
          </w:p>
        </w:tc>
        <w:tc>
          <w:tcPr>
            <w:tcW w:w="2811" w:type="dxa"/>
            <w:gridSpan w:val="2"/>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vAlign w:val="bottom"/>
          </w:tcPr>
          <w:p>
            <w:pPr>
              <w:pStyle w:val="TableContents"/>
              <w:bidi w:val="0"/>
              <w:spacing w:before="0" w:after="283"/>
              <w:jc w:val="left"/>
              <w:rPr/>
            </w:pPr>
            <w:r>
              <w:rPr/>
              <w:t>Emerging growth company</w:t>
            </w:r>
          </w:p>
        </w:tc>
        <w:tc>
          <w:tcPr>
            <w:tcW w:w="102"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 YES ☐ NO ☒ </w:t>
      </w:r>
    </w:p>
    <w:p>
      <w:pPr>
        <w:pStyle w:val="TextBody"/>
        <w:bidi w:val="0"/>
        <w:spacing w:before="240" w:after="0"/>
        <w:jc w:val="left"/>
        <w:rPr>
          <w:rFonts w:ascii="Times New Roman" w:hAnsi="Times New Roman"/>
          <w:sz w:val="20"/>
        </w:rPr>
      </w:pPr>
      <w:r>
        <w:rPr>
          <w:rFonts w:ascii="Times New Roman" w:hAnsi="Times New Roman"/>
          <w:sz w:val="20"/>
        </w:rPr>
        <w:t xml:space="preserve">As of May 7, 2025, the registrant had 101,683,916 shares of common stock, $0.0001 par value per share, outstanding.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4100" w:type="dxa"/>
        <w:jc w:val="center"/>
        <w:tblInd w:w="0" w:type="dxa"/>
        <w:tblLayout w:type="fixed"/>
        <w:tblCellMar>
          <w:top w:w="0" w:type="dxa"/>
          <w:left w:w="0" w:type="dxa"/>
          <w:bottom w:w="0" w:type="dxa"/>
          <w:right w:w="0" w:type="dxa"/>
        </w:tblCellMar>
      </w:tblPr>
      <w:tblGrid>
        <w:gridCol w:w="740"/>
        <w:gridCol w:w="60"/>
        <w:gridCol w:w="12800"/>
        <w:gridCol w:w="120"/>
        <w:gridCol w:w="60"/>
        <w:gridCol w:w="260"/>
        <w:gridCol w:w="6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40" w:type="dxa"/>
            <w:tcBorders/>
          </w:tcPr>
          <w:p>
            <w:pPr>
              <w:pStyle w:val="TableContents"/>
              <w:bidi w:val="0"/>
              <w:spacing w:before="0" w:after="0"/>
              <w:jc w:val="left"/>
              <w:rPr>
                <w:rFonts w:ascii="Times New Roman" w:hAnsi="Times New Roman"/>
                <w:b/>
                <w:sz w:val="20"/>
              </w:rPr>
            </w:pPr>
            <w:r>
              <w:rPr>
                <w:rFonts w:ascii="Times New Roman" w:hAnsi="Times New Roman"/>
                <w:b/>
                <w:sz w:val="20"/>
              </w:rPr>
              <w:t>PART I</w:t>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1">
              <w:r>
                <w:rPr>
                  <w:rStyle w:val="InternetLink"/>
                  <w:b/>
                </w:rPr>
                <w:t>FINANCIAL INFORMATION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740" w:type="dxa"/>
            <w:tcBorders/>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2">
              <w:r>
                <w:rPr>
                  <w:rStyle w:val="InternetLink"/>
                </w:rPr>
                <w:t>Financial Statements (unaudited)</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3">
              <w:r>
                <w:rPr>
                  <w:rStyle w:val="InternetLink"/>
                </w:rPr>
                <w:t>Condensed Consolidated Balance Sheets as of March 31, 2025 and December 31, 2024 (unaudited)</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4">
              <w:r>
                <w:rPr>
                  <w:rStyle w:val="InternetLink"/>
                </w:rPr>
                <w:t>Condensed Consolidated Statements of Operations for the three months ended March 31, 2025 and 2024 (unaudited)</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5">
              <w:r>
                <w:rPr>
                  <w:rStyle w:val="InternetLink"/>
                </w:rPr>
                <w:t>Condensed Consolidated Statements of Stockholders Equity (Deficit) for the three months ended March 31, 2025 and 2024 (unaudited)</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6">
              <w:r>
                <w:rPr>
                  <w:rStyle w:val="InternetLink"/>
                </w:rPr>
                <w:t>Condensed Consolidated Statements of Cash Flows for the three months ended March 31, 2025 and 2024 (unaudited)</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7">
              <w:r>
                <w:rPr>
                  <w:rStyle w:val="InternetLink"/>
                </w:rPr>
                <w:t>Notes to the Condensed Consolidated Financial Statements (unaudited)</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8">
              <w:r>
                <w:rPr>
                  <w:rStyle w:val="InternetLink"/>
                </w:rPr>
                <w:t>Managements Discussion and Analysis of Financial Condition and Results of Operations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9">
              <w:r>
                <w:rPr>
                  <w:rStyle w:val="InternetLink"/>
                </w:rPr>
                <w:t>Quantitative and Qualitative Disclosures About Market Risk</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10">
              <w:r>
                <w:rPr>
                  <w:rStyle w:val="InternetLink"/>
                </w:rPr>
                <w:t>Controls and Procedures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740" w:type="dxa"/>
            <w:tcBorders/>
            <w:vAlign w:val="center"/>
          </w:tcPr>
          <w:p>
            <w:pPr>
              <w:pStyle w:val="TableContents"/>
              <w:bidi w:val="0"/>
              <w:spacing w:before="0" w:after="283"/>
              <w:jc w:val="left"/>
              <w:rPr>
                <w:sz w:val="4"/>
                <w:szCs w:val="4"/>
              </w:rPr>
            </w:pPr>
            <w:r>
              <w:rPr>
                <w:sz w:val="4"/>
                <w:szCs w:val="4"/>
              </w:rPr>
            </w:r>
          </w:p>
        </w:tc>
        <w:tc>
          <w:tcPr>
            <w:tcW w:w="1286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740" w:type="dxa"/>
            <w:tcBorders/>
          </w:tcPr>
          <w:p>
            <w:pPr>
              <w:pStyle w:val="TableContents"/>
              <w:bidi w:val="0"/>
              <w:spacing w:before="0" w:after="0"/>
              <w:jc w:val="left"/>
              <w:rPr>
                <w:rFonts w:ascii="Times New Roman" w:hAnsi="Times New Roman"/>
                <w:b/>
                <w:sz w:val="20"/>
              </w:rPr>
            </w:pPr>
            <w:r>
              <w:rPr>
                <w:rFonts w:ascii="Times New Roman" w:hAnsi="Times New Roman"/>
                <w:b/>
                <w:sz w:val="20"/>
              </w:rPr>
              <w:t>PART II</w:t>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11">
              <w:r>
                <w:rPr>
                  <w:rStyle w:val="InternetLink"/>
                  <w:b/>
                </w:rPr>
                <w:t>OTHER INFORMATION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740" w:type="dxa"/>
            <w:tcBorders/>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12">
              <w:r>
                <w:rPr>
                  <w:rStyle w:val="InternetLink"/>
                </w:rPr>
                <w:t>Legal Proceedings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13">
              <w:r>
                <w:rPr>
                  <w:rStyle w:val="InternetLink"/>
                </w:rPr>
                <w:t>Risk Factors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14">
              <w:r>
                <w:rPr>
                  <w:rStyle w:val="InternetLink"/>
                </w:rPr>
                <w:t>Unregistered Sales of Equity Securities and Use of Proceeds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15">
              <w:r>
                <w:rPr>
                  <w:rStyle w:val="InternetLink"/>
                </w:rPr>
                <w:t>Defaults Upon Senior Securities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16">
              <w:r>
                <w:rPr>
                  <w:rStyle w:val="InternetLink"/>
                </w:rPr>
                <w:t>Mine Safety Disclosures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17">
              <w:r>
                <w:rPr>
                  <w:rStyle w:val="InternetLink"/>
                </w:rPr>
                <w:t>Other Information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740" w:type="dxa"/>
            <w:tcBorders/>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bottom"/>
          </w:tcPr>
          <w:p>
            <w:pPr>
              <w:pStyle w:val="TableContents"/>
              <w:bidi w:val="0"/>
              <w:spacing w:before="0" w:after="283"/>
              <w:jc w:val="left"/>
              <w:rPr/>
            </w:pPr>
            <w:r>
              <w:rPr/>
              <w:t> </w:t>
            </w:r>
          </w:p>
        </w:tc>
        <w:tc>
          <w:tcPr>
            <w:tcW w:w="12800" w:type="dxa"/>
            <w:tcBorders/>
            <w:vAlign w:val="bottom"/>
          </w:tcPr>
          <w:p>
            <w:pPr>
              <w:pStyle w:val="TableContents"/>
              <w:bidi w:val="0"/>
              <w:spacing w:before="0" w:after="283"/>
              <w:jc w:val="left"/>
              <w:rPr/>
            </w:pPr>
            <w:hyperlink w:anchor="l10q63969_18">
              <w:r>
                <w:rPr>
                  <w:rStyle w:val="InternetLink"/>
                </w:rPr>
                <w:t>Exhibits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3600" w:type="dxa"/>
            <w:gridSpan w:val="3"/>
            <w:tcBorders/>
          </w:tcPr>
          <w:p>
            <w:pPr>
              <w:pStyle w:val="TableContents"/>
              <w:bidi w:val="0"/>
              <w:spacing w:before="0" w:after="0"/>
              <w:jc w:val="left"/>
              <w:rPr/>
            </w:pPr>
            <w:hyperlink w:anchor="l10q63969_19">
              <w:r>
                <w:rPr>
                  <w:rStyle w:val="InternetLink"/>
                  <w:rFonts w:ascii="Times New Roman" w:hAnsi="Times New Roman"/>
                  <w:sz w:val="20"/>
                </w:rPr>
                <w:t>SIGNATURES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(this Quarterly Report) of Blaize Holdings, Inc.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Annual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changes in domestic and foreign business, market, financial, political and legal conditions; the expected benefits of the Business Combination are not obtained; the ability to meet stock exchange listing standards following the consummation of the Business Combination; the risk that the Business Combination disrupts current plans and operations of Blaize as a result of the consummation of the Business Combination;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costs related to the Business Combination; changes in applicable law or regulations; the outcome of any legal proceedings that may be instituted against Blaize; the effects of competition on Blaizes future business; the ability of the combined company to issue equity or equity-linked securities or obtain debt financing; the enforceability of Blaizes intellectual property rights, including its copyrights, patents, trademarks and trade secrets, and the potential infringement on the intellectual property rights of others; risks related to human capital; risks related to cybersecurity and data privacy; the outcome of any government and regulatory proceedings and investigations and inquiries; and those factors in the other documents filed by Blaize from time to time with the U.S. Securities and Exchange Commission (SEC). The discussion in this Quarterly Report should be read in conjunction with the condensed consolidated financial statements and notes thereto included in Item 1. of Part I. of this Quarterly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l10q63969_1"/>
      <w:bookmarkEnd w:id="3"/>
      <w:r>
        <w:rPr>
          <w:rFonts w:ascii="Times New Roman" w:hAnsi="Times New Roman"/>
          <w:b/>
          <w:sz w:val="20"/>
        </w:rPr>
        <w:t xml:space="preserve">PART I. FINANCIAL INFORMATION </w:t>
      </w:r>
    </w:p>
    <w:p>
      <w:pPr>
        <w:pStyle w:val="TextBody"/>
        <w:bidi w:val="0"/>
        <w:spacing w:before="240" w:after="0"/>
        <w:jc w:val="left"/>
        <w:rPr>
          <w:rFonts w:ascii="Times New Roman" w:hAnsi="Times New Roman"/>
          <w:b/>
          <w:sz w:val="20"/>
        </w:rPr>
      </w:pPr>
      <w:bookmarkStart w:id="4" w:name="l10q63969_2"/>
      <w:bookmarkEnd w:id="4"/>
      <w:r>
        <w:rPr>
          <w:rFonts w:ascii="Times New Roman" w:hAnsi="Times New Roman"/>
          <w:b/>
          <w:sz w:val="20"/>
        </w:rPr>
        <w:t xml:space="preserve">Item 1. Financial Statements (unaudited) </w:t>
      </w:r>
    </w:p>
    <w:p>
      <w:pPr>
        <w:pStyle w:val="TextBody"/>
        <w:bidi w:val="0"/>
        <w:spacing w:before="48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b/>
          <w:sz w:val="20"/>
        </w:rPr>
      </w:pPr>
      <w:bookmarkStart w:id="5" w:name="l10q63969_3"/>
      <w:bookmarkEnd w:id="5"/>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i/>
          <w:sz w:val="16"/>
        </w:rPr>
      </w:pPr>
      <w:r>
        <w:rPr>
          <w:rFonts w:ascii="Times New Roman" w:hAnsi="Times New Roman"/>
          <w:b/>
          <w:i/>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52"/>
        <w:gridCol w:w="162"/>
        <w:gridCol w:w="220"/>
        <w:gridCol w:w="1401"/>
        <w:gridCol w:w="155"/>
        <w:gridCol w:w="105"/>
        <w:gridCol w:w="267"/>
        <w:gridCol w:w="1684"/>
        <w:gridCol w:w="159"/>
      </w:tblGrid>
      <w:tr>
        <w:trPr/>
        <w:tc>
          <w:tcPr>
            <w:tcW w:w="6052"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bidi w:val="0"/>
              <w:spacing w:before="0" w:after="283"/>
              <w:jc w:val="center"/>
              <w:rPr>
                <w:b/>
              </w:rPr>
            </w:pPr>
            <w:r>
              <w:rPr>
                <w:b/>
              </w:rPr>
              <w:t>As of March 31,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51" w:type="dxa"/>
            <w:gridSpan w:val="2"/>
            <w:tcBorders/>
            <w:vAlign w:val="bottom"/>
          </w:tcPr>
          <w:p>
            <w:pPr>
              <w:pStyle w:val="TableContents"/>
              <w:bidi w:val="0"/>
              <w:spacing w:before="0" w:after="283"/>
              <w:jc w:val="center"/>
              <w:rPr>
                <w:b/>
              </w:rPr>
            </w:pPr>
            <w:r>
              <w:rPr>
                <w:b/>
              </w:rPr>
              <w:t>As of December 31,</w:t>
            </w:r>
          </w:p>
        </w:tc>
        <w:tc>
          <w:tcPr>
            <w:tcW w:w="159" w:type="dxa"/>
            <w:tcBorders/>
            <w:vAlign w:val="bottom"/>
          </w:tcPr>
          <w:p>
            <w:pPr>
              <w:pStyle w:val="TableContents"/>
              <w:bidi w:val="0"/>
              <w:spacing w:before="0" w:after="283"/>
              <w:jc w:val="left"/>
              <w:rPr/>
            </w:pPr>
            <w:r>
              <w:rPr/>
              <w:t> </w:t>
            </w:r>
          </w:p>
        </w:tc>
      </w:tr>
      <w:tr>
        <w:trPr/>
        <w:tc>
          <w:tcPr>
            <w:tcW w:w="6052" w:type="dxa"/>
            <w:tcBorders/>
            <w:vAlign w:val="bottom"/>
          </w:tcPr>
          <w:p>
            <w:pPr>
              <w:pStyle w:val="TableContents"/>
              <w:bidi w:val="0"/>
              <w:spacing w:before="0" w:after="283"/>
              <w:jc w:val="left"/>
              <w:rPr>
                <w:i/>
              </w:rPr>
            </w:pPr>
            <w:r>
              <w:rPr>
                <w:i/>
              </w:rPr>
              <w:t>(Amounts in thousands, except shares and per share amounts)</w:t>
            </w:r>
          </w:p>
        </w:tc>
        <w:tc>
          <w:tcPr>
            <w:tcW w:w="162" w:type="dxa"/>
            <w:tcBorders/>
            <w:vAlign w:val="bottom"/>
          </w:tcPr>
          <w:p>
            <w:pPr>
              <w:pStyle w:val="TableContents"/>
              <w:bidi w:val="0"/>
              <w:spacing w:before="0" w:after="283"/>
              <w:jc w:val="left"/>
              <w:rPr/>
            </w:pPr>
            <w:r>
              <w:rPr/>
              <w:t>  </w:t>
            </w:r>
          </w:p>
        </w:tc>
        <w:tc>
          <w:tcPr>
            <w:tcW w:w="16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sz w:val="4"/>
                <w:szCs w:val="4"/>
              </w:rPr>
            </w:pPr>
            <w:r>
              <w:rPr>
                <w:sz w:val="4"/>
                <w:szCs w:val="4"/>
              </w:rPr>
            </w:r>
          </w:p>
        </w:tc>
        <w:tc>
          <w:tcPr>
            <w:tcW w:w="168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sz w:val="4"/>
                <w:szCs w:val="4"/>
              </w:rPr>
            </w:pPr>
            <w:r>
              <w:rPr>
                <w:sz w:val="4"/>
                <w:szCs w:val="4"/>
              </w:rPr>
            </w:r>
          </w:p>
        </w:tc>
        <w:tc>
          <w:tcPr>
            <w:tcW w:w="168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44,967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684" w:type="dxa"/>
            <w:tcBorders/>
            <w:shd w:fill="CCEEFF" w:val="clear"/>
            <w:vAlign w:val="bottom"/>
          </w:tcPr>
          <w:p>
            <w:pPr>
              <w:pStyle w:val="TableContents"/>
              <w:bidi w:val="0"/>
              <w:spacing w:before="0" w:after="283"/>
              <w:jc w:val="right"/>
              <w:rPr/>
            </w:pPr>
            <w:r>
              <w:rPr/>
              <w:t>50,237</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Funds held in escrow</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33,350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1,008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right"/>
              <w:rPr/>
            </w:pPr>
            <w:r>
              <w:rPr/>
              <w:t>55</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8,383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8,561</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5,836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right"/>
              <w:rPr/>
            </w:pPr>
            <w:r>
              <w:rPr/>
              <w:t>14,837</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6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93,544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73,690</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2,054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right"/>
              <w:rPr/>
            </w:pPr>
            <w:r>
              <w:rPr/>
              <w:t>2,081</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2,167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2,157</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1,623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right"/>
              <w:rPr/>
            </w:pPr>
            <w:r>
              <w:rPr/>
              <w:t>1,773</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815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815</w:t>
            </w:r>
          </w:p>
        </w:tc>
        <w:tc>
          <w:tcPr>
            <w:tcW w:w="159" w:type="dxa"/>
            <w:tcBorders/>
            <w:vAlign w:val="bottom"/>
          </w:tcPr>
          <w:p>
            <w:pPr>
              <w:pStyle w:val="TableContents"/>
              <w:bidi w:val="0"/>
              <w:spacing w:before="0" w:after="283"/>
              <w:jc w:val="left"/>
              <w:rPr/>
            </w:pPr>
            <w:r>
              <w:rPr/>
              <w:t> </w:t>
            </w:r>
          </w:p>
        </w:tc>
      </w:tr>
      <w:tr>
        <w:trPr/>
        <w:tc>
          <w:tcPr>
            <w:tcW w:w="605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6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401" w:type="dxa"/>
            <w:tcBorders/>
            <w:shd w:fill="CCEEFF" w:val="clear"/>
            <w:vAlign w:val="bottom"/>
          </w:tcPr>
          <w:p>
            <w:pPr>
              <w:pStyle w:val="TableContents"/>
              <w:bidi w:val="0"/>
              <w:spacing w:before="0" w:after="283"/>
              <w:jc w:val="right"/>
              <w:rPr>
                <w:b/>
              </w:rPr>
            </w:pPr>
            <w:r>
              <w:rPr>
                <w:b/>
              </w:rPr>
              <w:t>100,203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b/>
              </w:rPr>
            </w:pPr>
            <w:r>
              <w:rPr>
                <w:b/>
              </w:rPr>
              <w:t>$</w:t>
            </w:r>
          </w:p>
        </w:tc>
        <w:tc>
          <w:tcPr>
            <w:tcW w:w="1684" w:type="dxa"/>
            <w:tcBorders/>
            <w:shd w:fill="CCEEFF" w:val="clear"/>
            <w:vAlign w:val="bottom"/>
          </w:tcPr>
          <w:p>
            <w:pPr>
              <w:pStyle w:val="TableContents"/>
              <w:bidi w:val="0"/>
              <w:spacing w:before="0" w:after="283"/>
              <w:jc w:val="right"/>
              <w:rPr>
                <w:b/>
              </w:rPr>
            </w:pPr>
            <w:r>
              <w:rPr>
                <w:b/>
              </w:rPr>
              <w:t>80,516</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168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common stock subject to possible redemption, and stockholders equity (deficit)</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sz w:val="4"/>
                <w:szCs w:val="4"/>
              </w:rPr>
            </w:pPr>
            <w:r>
              <w:rPr>
                <w:sz w:val="4"/>
                <w:szCs w:val="4"/>
              </w:rPr>
            </w:r>
          </w:p>
        </w:tc>
        <w:tc>
          <w:tcPr>
            <w:tcW w:w="168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sz w:val="4"/>
                <w:szCs w:val="4"/>
              </w:rPr>
            </w:pPr>
            <w:r>
              <w:rPr>
                <w:sz w:val="4"/>
                <w:szCs w:val="4"/>
              </w:rPr>
            </w:r>
          </w:p>
        </w:tc>
        <w:tc>
          <w:tcPr>
            <w:tcW w:w="168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17,115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684" w:type="dxa"/>
            <w:tcBorders/>
            <w:vAlign w:val="bottom"/>
          </w:tcPr>
          <w:p>
            <w:pPr>
              <w:pStyle w:val="TableContents"/>
              <w:bidi w:val="0"/>
              <w:spacing w:before="0" w:after="283"/>
              <w:jc w:val="right"/>
              <w:rPr/>
            </w:pPr>
            <w:r>
              <w:rPr/>
              <w:t>7,904</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11,524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right"/>
              <w:rPr/>
            </w:pPr>
            <w:r>
              <w:rPr/>
              <w:t>11,996</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Accrued loss on purchase commitments</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601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603</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1,763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right"/>
              <w:rPr/>
            </w:pPr>
            <w:r>
              <w:rPr/>
              <w:t>1,613</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2,537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2,109</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542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right"/>
              <w:rPr/>
            </w:pPr>
            <w:r>
              <w:rPr/>
              <w:t>578</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Working capital loan (Note 8)</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1,500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Advances from related party (Note 8)</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2,857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 current</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14,711</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 current</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right"/>
              <w:rPr/>
            </w:pPr>
            <w:r>
              <w:rPr/>
              <w:t>148,629</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6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38,439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188,143</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1,050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right"/>
              <w:rPr/>
            </w:pPr>
            <w:r>
              <w:rPr/>
              <w:t>1,166</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Earnout share liabilities</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9,507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1,436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right"/>
              <w:rPr/>
            </w:pPr>
            <w:r>
              <w:rPr/>
              <w:t>1,670</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6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5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b/>
              </w:rPr>
            </w:pPr>
            <w:r>
              <w:rPr>
                <w:b/>
              </w:rPr>
              <w:t>50,432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b/>
              </w:rPr>
            </w:pPr>
            <w:r>
              <w:rPr>
                <w:b/>
              </w:rPr>
              <w:t>190,979</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14)</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sz w:val="4"/>
                <w:szCs w:val="4"/>
              </w:rPr>
            </w:pPr>
            <w:r>
              <w:rPr>
                <w:sz w:val="4"/>
                <w:szCs w:val="4"/>
              </w:rPr>
            </w:r>
          </w:p>
        </w:tc>
        <w:tc>
          <w:tcPr>
            <w:tcW w:w="168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subject to possible redemption, 2,854,242 and zero outstanding at a redemption value of approximately $33,061 and $0 as of March 31, 2025 and December 31, 2024, respectively</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33,061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equity (deficit):</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sz w:val="4"/>
                <w:szCs w:val="4"/>
              </w:rPr>
            </w:pPr>
            <w:r>
              <w:rPr>
                <w:sz w:val="4"/>
                <w:szCs w:val="4"/>
              </w:rPr>
            </w:r>
          </w:p>
        </w:tc>
        <w:tc>
          <w:tcPr>
            <w:tcW w:w="168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 $0.0001 par value; 600,000,000 and 136,562,809 shares authorized as of March 31, 2025 and December 31, 2024, respectively; 98,818,874 and 48,376,052 shares issued and outstanding as of March 31, 2025 and December 31, 2024, respectively</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5</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602,266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right"/>
              <w:rPr/>
            </w:pPr>
            <w:r>
              <w:rPr/>
              <w:t>318,783</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tcPr>
          <w:p>
            <w:pPr>
              <w:pStyle w:val="TableContents"/>
              <w:bidi w:val="0"/>
              <w:spacing w:before="0" w:after="0"/>
              <w:jc w:val="left"/>
              <w:rPr>
                <w:rFonts w:ascii="Times New Roman" w:hAnsi="Times New Roman"/>
                <w:sz w:val="20"/>
              </w:rPr>
            </w:pPr>
            <w:r>
              <w:rPr>
                <w:rFonts w:ascii="Times New Roman" w:hAnsi="Times New Roman"/>
                <w:sz w:val="20"/>
              </w:rPr>
              <w:t>Shareholder note receivable</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(8,554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(577,012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684" w:type="dxa"/>
            <w:tcBorders/>
            <w:shd w:fill="CCEEFF" w:val="clear"/>
            <w:vAlign w:val="bottom"/>
          </w:tcPr>
          <w:p>
            <w:pPr>
              <w:pStyle w:val="TableContents"/>
              <w:bidi w:val="0"/>
              <w:spacing w:before="0" w:after="283"/>
              <w:jc w:val="right"/>
              <w:rPr/>
            </w:pPr>
            <w:r>
              <w:rPr/>
              <w:t>(429,251</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6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5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equity (deficit)</w:t>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b/>
              </w:rPr>
            </w:pPr>
            <w:r>
              <w:rPr>
                <w:b/>
              </w:rPr>
              <w:t>16,710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684" w:type="dxa"/>
            <w:tcBorders/>
            <w:vAlign w:val="bottom"/>
          </w:tcPr>
          <w:p>
            <w:pPr>
              <w:pStyle w:val="TableContents"/>
              <w:bidi w:val="0"/>
              <w:spacing w:before="0" w:after="283"/>
              <w:jc w:val="right"/>
              <w:rPr>
                <w:b/>
              </w:rPr>
            </w:pPr>
            <w:r>
              <w:rPr>
                <w:b/>
              </w:rPr>
              <w:t>(110,463</w:t>
            </w:r>
          </w:p>
        </w:tc>
        <w:tc>
          <w:tcPr>
            <w:tcW w:w="159" w:type="dxa"/>
            <w:tcBorders/>
            <w:vAlign w:val="bottom"/>
          </w:tcPr>
          <w:p>
            <w:pPr>
              <w:pStyle w:val="TableContents"/>
              <w:bidi w:val="0"/>
              <w:spacing w:before="0" w:after="283"/>
              <w:jc w:val="left"/>
              <w:rPr>
                <w:b/>
              </w:rPr>
            </w:pPr>
            <w:r>
              <w:rPr>
                <w:b/>
              </w:rPr>
              <w:t>) </w:t>
            </w:r>
          </w:p>
        </w:tc>
      </w:tr>
      <w:tr>
        <w:trPr/>
        <w:tc>
          <w:tcPr>
            <w:tcW w:w="605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6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common stock subject to redemption, and stockholders equity (deficit)</w:t>
            </w:r>
          </w:p>
        </w:tc>
        <w:tc>
          <w:tcPr>
            <w:tcW w:w="16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401" w:type="dxa"/>
            <w:tcBorders/>
            <w:shd w:fill="CCEEFF" w:val="clear"/>
            <w:vAlign w:val="bottom"/>
          </w:tcPr>
          <w:p>
            <w:pPr>
              <w:pStyle w:val="TableContents"/>
              <w:bidi w:val="0"/>
              <w:spacing w:before="0" w:after="283"/>
              <w:jc w:val="right"/>
              <w:rPr>
                <w:b/>
              </w:rPr>
            </w:pPr>
            <w:r>
              <w:rPr>
                <w:b/>
              </w:rPr>
              <w:t>100,203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b/>
              </w:rPr>
            </w:pPr>
            <w:r>
              <w:rPr>
                <w:b/>
              </w:rPr>
              <w:t>$</w:t>
            </w:r>
          </w:p>
        </w:tc>
        <w:tc>
          <w:tcPr>
            <w:tcW w:w="1684" w:type="dxa"/>
            <w:tcBorders/>
            <w:shd w:fill="CCEEFF" w:val="clear"/>
            <w:vAlign w:val="bottom"/>
          </w:tcPr>
          <w:p>
            <w:pPr>
              <w:pStyle w:val="TableContents"/>
              <w:bidi w:val="0"/>
              <w:spacing w:before="0" w:after="283"/>
              <w:jc w:val="right"/>
              <w:rPr>
                <w:b/>
              </w:rPr>
            </w:pPr>
            <w:r>
              <w:rPr>
                <w:b/>
              </w:rPr>
              <w:t>80,516</w:t>
            </w:r>
          </w:p>
        </w:tc>
        <w:tc>
          <w:tcPr>
            <w:tcW w:w="159" w:type="dxa"/>
            <w:tcBorders/>
            <w:shd w:fill="CCEEFF" w:val="clear"/>
            <w:vAlign w:val="bottom"/>
          </w:tcPr>
          <w:p>
            <w:pPr>
              <w:pStyle w:val="TableContents"/>
              <w:bidi w:val="0"/>
              <w:spacing w:before="0" w:after="283"/>
              <w:jc w:val="left"/>
              <w:rPr/>
            </w:pPr>
            <w:r>
              <w:rPr/>
              <w:t> </w:t>
            </w:r>
          </w:p>
        </w:tc>
      </w:tr>
      <w:tr>
        <w:trPr/>
        <w:tc>
          <w:tcPr>
            <w:tcW w:w="605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168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b/>
          <w:sz w:val="20"/>
        </w:rPr>
      </w:pPr>
      <w:bookmarkStart w:id="6" w:name="l10q63969_4"/>
      <w:bookmarkEnd w:id="6"/>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i/>
          <w:sz w:val="16"/>
        </w:rPr>
      </w:pPr>
      <w:r>
        <w:rPr>
          <w:rFonts w:ascii="Times New Roman" w:hAnsi="Times New Roman"/>
          <w:b/>
          <w:i/>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03"/>
        <w:gridCol w:w="172"/>
        <w:gridCol w:w="140"/>
        <w:gridCol w:w="1109"/>
        <w:gridCol w:w="155"/>
        <w:gridCol w:w="119"/>
        <w:gridCol w:w="140"/>
        <w:gridCol w:w="1109"/>
        <w:gridCol w:w="158"/>
      </w:tblGrid>
      <w:tr>
        <w:trPr/>
        <w:tc>
          <w:tcPr>
            <w:tcW w:w="7103"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0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7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i/>
              </w:rPr>
            </w:pPr>
            <w:r>
              <w:rPr>
                <w:i/>
              </w:rPr>
              <w:t>(Amounts in thousands, except shares and per share amounts)</w:t>
            </w:r>
          </w:p>
        </w:tc>
        <w:tc>
          <w:tcPr>
            <w:tcW w:w="172" w:type="dxa"/>
            <w:tcBorders/>
            <w:vAlign w:val="bottom"/>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Hardware revenue</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1,007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Engineering services revenue - related party (Note 15)</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546</w:t>
            </w:r>
          </w:p>
        </w:tc>
        <w:tc>
          <w:tcPr>
            <w:tcW w:w="158" w:type="dxa"/>
            <w:tcBorders/>
            <w:shd w:fill="CCEEFF" w:val="clear"/>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1,007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549</w:t>
            </w:r>
          </w:p>
        </w:tc>
        <w:tc>
          <w:tcPr>
            <w:tcW w:w="158"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Costs and expenses</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306</w:t>
            </w:r>
          </w:p>
        </w:tc>
        <w:tc>
          <w:tcPr>
            <w:tcW w:w="158"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13,118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4,094</w:t>
            </w:r>
          </w:p>
        </w:tc>
        <w:tc>
          <w:tcPr>
            <w:tcW w:w="158" w:type="dxa"/>
            <w:tcBorders/>
            <w:shd w:fill="CCEEFF" w:val="clear"/>
            <w:vAlign w:val="bottom"/>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13,357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3,988</w:t>
            </w:r>
          </w:p>
        </w:tc>
        <w:tc>
          <w:tcPr>
            <w:tcW w:w="158"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191</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253</w:t>
            </w:r>
          </w:p>
        </w:tc>
        <w:tc>
          <w:tcPr>
            <w:tcW w:w="158" w:type="dxa"/>
            <w:tcBorders/>
            <w:shd w:fill="CCEEFF" w:val="clear"/>
            <w:vAlign w:val="bottom"/>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12,035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45</w:t>
            </w:r>
          </w:p>
        </w:tc>
        <w:tc>
          <w:tcPr>
            <w:tcW w:w="158" w:type="dxa"/>
            <w:tcBorders/>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39,028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8,686</w:t>
            </w:r>
          </w:p>
        </w:tc>
        <w:tc>
          <w:tcPr>
            <w:tcW w:w="158" w:type="dxa"/>
            <w:tcBorders/>
            <w:shd w:fill="CCEEFF" w:val="clear"/>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0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b/>
              </w:rPr>
            </w:pPr>
            <w:r>
              <w:rPr>
                <w:b/>
              </w:rPr>
              <w:t>(38,021</w:t>
            </w:r>
          </w:p>
        </w:tc>
        <w:tc>
          <w:tcPr>
            <w:tcW w:w="155" w:type="dxa"/>
            <w:tcBorders/>
            <w:vAlign w:val="bottom"/>
          </w:tcPr>
          <w:p>
            <w:pPr>
              <w:pStyle w:val="TableContents"/>
              <w:bidi w:val="0"/>
              <w:spacing w:before="0" w:after="283"/>
              <w:jc w:val="left"/>
              <w:rPr>
                <w:b/>
              </w:rPr>
            </w:pPr>
            <w:r>
              <w:rPr>
                <w:b/>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b/>
              </w:rPr>
            </w:pPr>
            <w:r>
              <w:rPr>
                <w:b/>
              </w:rPr>
              <w:t>(8,137</w:t>
            </w:r>
          </w:p>
        </w:tc>
        <w:tc>
          <w:tcPr>
            <w:tcW w:w="158" w:type="dxa"/>
            <w:tcBorders/>
            <w:vAlign w:val="bottom"/>
          </w:tcPr>
          <w:p>
            <w:pPr>
              <w:pStyle w:val="TableContents"/>
              <w:bidi w:val="0"/>
              <w:spacing w:before="0" w:after="283"/>
              <w:jc w:val="left"/>
              <w:rPr>
                <w:b/>
              </w:rPr>
            </w:pPr>
            <w:r>
              <w:rPr>
                <w:b/>
              </w:rPr>
              <w:t>) </w:t>
            </w:r>
          </w:p>
        </w:tc>
      </w:tr>
      <w:tr>
        <w:trPr/>
        <w:tc>
          <w:tcPr>
            <w:tcW w:w="71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expense, net</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Loss on foreign exchange transactions</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(49</w:t>
            </w:r>
          </w:p>
        </w:tc>
        <w:tc>
          <w:tcPr>
            <w:tcW w:w="158"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(165,703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(4,651</w:t>
            </w:r>
          </w:p>
        </w:tc>
        <w:tc>
          <w:tcPr>
            <w:tcW w:w="158" w:type="dxa"/>
            <w:tcBorders/>
            <w:shd w:fill="CCEEFF" w:val="clear"/>
            <w:vAlign w:val="bottom"/>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(60,345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(3,515</w:t>
            </w:r>
          </w:p>
        </w:tc>
        <w:tc>
          <w:tcPr>
            <w:tcW w:w="158"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share liabilities</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116,518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(229</w:t>
            </w:r>
          </w:p>
        </w:tc>
        <w:tc>
          <w:tcPr>
            <w:tcW w:w="158" w:type="dxa"/>
            <w:tcBorders/>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 net</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(109,578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(8,444</w:t>
            </w:r>
          </w:p>
        </w:tc>
        <w:tc>
          <w:tcPr>
            <w:tcW w:w="158" w:type="dxa"/>
            <w:tcBorders/>
            <w:shd w:fill="CCEEFF" w:val="clear"/>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(147,599</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(16,581</w:t>
            </w:r>
          </w:p>
        </w:tc>
        <w:tc>
          <w:tcPr>
            <w:tcW w:w="158" w:type="dxa"/>
            <w:tcBorders/>
            <w:vAlign w:val="bottom"/>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162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162</w:t>
            </w:r>
          </w:p>
        </w:tc>
        <w:tc>
          <w:tcPr>
            <w:tcW w:w="158" w:type="dxa"/>
            <w:tcBorders/>
            <w:shd w:fill="CCEEFF" w:val="clear"/>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0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b/>
              </w:rPr>
            </w:pPr>
            <w:r>
              <w:rPr>
                <w:b/>
              </w:rPr>
              <w:t>(147,761</w:t>
            </w:r>
          </w:p>
        </w:tc>
        <w:tc>
          <w:tcPr>
            <w:tcW w:w="155" w:type="dxa"/>
            <w:tcBorders/>
            <w:vAlign w:val="bottom"/>
          </w:tcPr>
          <w:p>
            <w:pPr>
              <w:pStyle w:val="TableContents"/>
              <w:bidi w:val="0"/>
              <w:spacing w:before="0" w:after="283"/>
              <w:jc w:val="left"/>
              <w:rPr>
                <w:b/>
              </w:rPr>
            </w:pPr>
            <w:r>
              <w:rPr>
                <w:b/>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b/>
              </w:rPr>
            </w:pPr>
            <w:r>
              <w:rPr>
                <w:b/>
              </w:rPr>
              <w:t>(16,743</w:t>
            </w:r>
          </w:p>
        </w:tc>
        <w:tc>
          <w:tcPr>
            <w:tcW w:w="158" w:type="dxa"/>
            <w:tcBorders/>
            <w:vAlign w:val="bottom"/>
          </w:tcPr>
          <w:p>
            <w:pPr>
              <w:pStyle w:val="TableContents"/>
              <w:bidi w:val="0"/>
              <w:spacing w:before="0" w:after="283"/>
              <w:jc w:val="left"/>
              <w:rPr>
                <w:b/>
              </w:rPr>
            </w:pPr>
            <w:r>
              <w:rPr>
                <w:b/>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(1.61</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(1.23</w:t>
            </w:r>
          </w:p>
        </w:tc>
        <w:tc>
          <w:tcPr>
            <w:tcW w:w="158" w:type="dxa"/>
            <w:tcBorders/>
            <w:shd w:fill="CCEEFF" w:val="clear"/>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0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outstanding - basic and diluted</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91,747,685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13,613,270</w:t>
            </w:r>
          </w:p>
        </w:tc>
        <w:tc>
          <w:tcPr>
            <w:tcW w:w="158" w:type="dxa"/>
            <w:tcBorders/>
            <w:vAlign w:val="bottom"/>
          </w:tcPr>
          <w:p>
            <w:pPr>
              <w:pStyle w:val="TableContents"/>
              <w:bidi w:val="0"/>
              <w:spacing w:before="0" w:after="283"/>
              <w:jc w:val="left"/>
              <w:rPr/>
            </w:pPr>
            <w:r>
              <w:rPr/>
              <w:t> </w:t>
            </w:r>
          </w:p>
        </w:tc>
      </w:tr>
      <w:tr>
        <w:trPr/>
        <w:tc>
          <w:tcPr>
            <w:tcW w:w="7103"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b/>
          <w:sz w:val="20"/>
        </w:rPr>
      </w:pPr>
      <w:bookmarkStart w:id="7" w:name="l10q63969_5"/>
      <w:bookmarkEnd w:id="7"/>
      <w:r>
        <w:rPr>
          <w:rFonts w:ascii="Times New Roman" w:hAnsi="Times New Roman"/>
          <w:b/>
          <w:sz w:val="20"/>
        </w:rPr>
        <w:t xml:space="preserve">CONDENSED CONSOLIDATED STATEMENTS OF SHAREHOLDERS EQUITY (DEFICIT) </w:t>
      </w:r>
    </w:p>
    <w:p>
      <w:pPr>
        <w:pStyle w:val="TextBody"/>
        <w:bidi w:val="0"/>
        <w:spacing w:before="0" w:after="0"/>
        <w:jc w:val="center"/>
        <w:rPr>
          <w:rFonts w:ascii="Times New Roman" w:hAnsi="Times New Roman"/>
          <w:b/>
          <w:i/>
          <w:sz w:val="16"/>
        </w:rPr>
      </w:pPr>
      <w:r>
        <w:rPr>
          <w:rFonts w:ascii="Times New Roman" w:hAnsi="Times New Roman"/>
          <w:b/>
          <w:i/>
          <w:sz w:val="16"/>
        </w:rPr>
        <w:t xml:space="preserve">(Unaudited) </w:t>
      </w:r>
    </w:p>
    <w:p>
      <w:pPr>
        <w:pStyle w:val="TextBody"/>
        <w:bidi w:val="0"/>
        <w:spacing w:before="0" w:after="0"/>
        <w:jc w:val="left"/>
        <w:rPr/>
      </w:pPr>
      <w:r>
        <w:rPr/>
        <w:t> </w:t>
      </w:r>
    </w:p>
    <w:tbl>
      <w:tblPr>
        <w:tblW w:w="16570" w:type="dxa"/>
        <w:jc w:val="center"/>
        <w:tblInd w:w="0" w:type="dxa"/>
        <w:tblLayout w:type="fixed"/>
        <w:tblCellMar>
          <w:top w:w="0" w:type="dxa"/>
          <w:left w:w="0" w:type="dxa"/>
          <w:bottom w:w="0" w:type="dxa"/>
          <w:right w:w="0" w:type="dxa"/>
        </w:tblCellMar>
      </w:tblPr>
      <w:tblGrid>
        <w:gridCol w:w="1070"/>
        <w:gridCol w:w="60"/>
        <w:gridCol w:w="61"/>
        <w:gridCol w:w="1203"/>
        <w:gridCol w:w="158"/>
        <w:gridCol w:w="61"/>
        <w:gridCol w:w="143"/>
        <w:gridCol w:w="899"/>
        <w:gridCol w:w="155"/>
        <w:gridCol w:w="60"/>
        <w:gridCol w:w="73"/>
        <w:gridCol w:w="1197"/>
        <w:gridCol w:w="73"/>
        <w:gridCol w:w="73"/>
        <w:gridCol w:w="171"/>
        <w:gridCol w:w="833"/>
        <w:gridCol w:w="60"/>
        <w:gridCol w:w="60"/>
        <w:gridCol w:w="60"/>
        <w:gridCol w:w="1100"/>
        <w:gridCol w:w="60"/>
        <w:gridCol w:w="60"/>
        <w:gridCol w:w="301"/>
        <w:gridCol w:w="559"/>
        <w:gridCol w:w="60"/>
        <w:gridCol w:w="60"/>
        <w:gridCol w:w="60"/>
        <w:gridCol w:w="755"/>
        <w:gridCol w:w="155"/>
        <w:gridCol w:w="60"/>
        <w:gridCol w:w="430"/>
        <w:gridCol w:w="430"/>
        <w:gridCol w:w="60"/>
        <w:gridCol w:w="60"/>
        <w:gridCol w:w="151"/>
        <w:gridCol w:w="949"/>
        <w:gridCol w:w="155"/>
        <w:gridCol w:w="60"/>
        <w:gridCol w:w="231"/>
        <w:gridCol w:w="1049"/>
        <w:gridCol w:w="155"/>
        <w:gridCol w:w="60"/>
        <w:gridCol w:w="188"/>
        <w:gridCol w:w="1182"/>
        <w:gridCol w:w="155"/>
        <w:gridCol w:w="60"/>
        <w:gridCol w:w="184"/>
        <w:gridCol w:w="1156"/>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525" w:type="dxa"/>
            <w:gridSpan w:val="6"/>
            <w:vMerge w:val="restart"/>
            <w:tcBorders>
              <w:bottom w:val="single" w:sz="8" w:space="0" w:color="000000"/>
            </w:tcBorders>
            <w:tcMar>
              <w:bottom w:w="28" w:type="dxa"/>
            </w:tcMar>
            <w:vAlign w:val="bottom"/>
          </w:tcPr>
          <w:p>
            <w:pPr>
              <w:pStyle w:val="TableContents"/>
              <w:bidi w:val="0"/>
              <w:spacing w:before="0" w:after="283"/>
              <w:jc w:val="center"/>
              <w:rPr/>
            </w:pPr>
            <w:r>
              <w:rPr>
                <w:b/>
              </w:rPr>
              <w:t>Redeemable Convertible</w:t>
            </w:r>
            <w:r>
              <w:rPr/>
              <w:br/>
            </w:r>
            <w:r>
              <w:rPr>
                <w:b/>
              </w:rPr>
              <w:t>Preferred Stock</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420" w:type="dxa"/>
            <w:gridSpan w:val="6"/>
            <w:vMerge w:val="restart"/>
            <w:tcBorders>
              <w:bottom w:val="single" w:sz="8" w:space="0" w:color="000000"/>
            </w:tcBorders>
            <w:tcMar>
              <w:bottom w:w="28" w:type="dxa"/>
            </w:tcMar>
            <w:vAlign w:val="bottom"/>
          </w:tcPr>
          <w:p>
            <w:pPr>
              <w:pStyle w:val="TableContents"/>
              <w:bidi w:val="0"/>
              <w:spacing w:before="0" w:after="283"/>
              <w:jc w:val="center"/>
              <w:rPr/>
            </w:pPr>
            <w:r>
              <w:rPr>
                <w:b/>
              </w:rPr>
              <w:t>Common Stock Subject</w:t>
            </w:r>
            <w:r>
              <w:rPr/>
              <w:br/>
            </w:r>
            <w:r>
              <w:rPr>
                <w:b/>
              </w:rPr>
              <w:t>to Possible Redemption</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5"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Stockholders Equity/(Deficit)</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2525" w:type="dxa"/>
            <w:gridSpan w:val="6"/>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420" w:type="dxa"/>
            <w:gridSpan w:val="6"/>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Treasury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b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28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Shareholder</w:t>
              <w:br/>
              <w:t>Note</w:t>
            </w:r>
            <w:r>
              <w:rPr/>
              <w:br/>
            </w:r>
            <w:r>
              <w:rPr>
                <w:b/>
              </w:rPr>
              <w:t>Receivable</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b/>
              </w:rPr>
            </w:pPr>
            <w:r>
              <w:rPr>
                <w:b/>
              </w:rPr>
              <w:t>Total</w:t>
              <w:br/>
              <w:t>Stockholders</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i/>
              </w:rPr>
            </w:pPr>
            <w:r>
              <w:rPr>
                <w:i/>
              </w:rPr>
              <w:t>(Amounts in thousands,</w:t>
              <w:br/>
              <w:t>except shares)</w:t>
            </w:r>
          </w:p>
        </w:tc>
        <w:tc>
          <w:tcPr>
            <w:tcW w:w="60" w:type="dxa"/>
            <w:tcBorders/>
            <w:vAlign w:val="bottom"/>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28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(Deficit)</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2024</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b/>
              </w:rPr>
            </w:pPr>
            <w:r>
              <w:rPr>
                <w:b/>
              </w:rPr>
              <w:t>34,712,525</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99" w:type="dxa"/>
            <w:tcBorders/>
            <w:shd w:fill="CCEEFF" w:val="clear"/>
            <w:vAlign w:val="bottom"/>
          </w:tcPr>
          <w:p>
            <w:pPr>
              <w:pStyle w:val="TableContents"/>
              <w:bidi w:val="0"/>
              <w:spacing w:before="0" w:after="283"/>
              <w:jc w:val="right"/>
              <w:rPr>
                <w:b/>
              </w:rPr>
            </w:pPr>
            <w:r>
              <w:rPr>
                <w:b/>
              </w:rPr>
              <w:t>173,347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b/>
              </w:rPr>
            </w:pPr>
            <w:r>
              <w:rPr>
                <w:b/>
              </w:rPr>
              <w:t>$</w:t>
            </w:r>
          </w:p>
        </w:tc>
        <w:tc>
          <w:tcPr>
            <w:tcW w:w="833"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13,663,527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559"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96,887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b/>
              </w:rPr>
            </w:pPr>
            <w:r>
              <w:rPr>
                <w:b/>
              </w:rPr>
              <w:t>$</w:t>
            </w:r>
          </w:p>
        </w:tc>
        <w:tc>
          <w:tcPr>
            <w:tcW w:w="43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b/>
              </w:rPr>
            </w:pPr>
            <w:r>
              <w:rPr>
                <w:b/>
              </w:rPr>
              <w:t>$</w:t>
            </w:r>
          </w:p>
        </w:tc>
        <w:tc>
          <w:tcPr>
            <w:tcW w:w="949" w:type="dxa"/>
            <w:tcBorders/>
            <w:shd w:fill="CCEEFF" w:val="clear"/>
            <w:vAlign w:val="bottom"/>
          </w:tcPr>
          <w:p>
            <w:pPr>
              <w:pStyle w:val="TableContents"/>
              <w:bidi w:val="0"/>
              <w:spacing w:before="0" w:after="283"/>
              <w:jc w:val="right"/>
              <w:rPr>
                <w:b/>
              </w:rPr>
            </w:pPr>
            <w:r>
              <w:rPr>
                <w:b/>
              </w:rPr>
              <w:t>145,441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1049"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182" w:type="dxa"/>
            <w:tcBorders/>
            <w:shd w:fill="CCEEFF" w:val="clear"/>
            <w:vAlign w:val="bottom"/>
          </w:tcPr>
          <w:p>
            <w:pPr>
              <w:pStyle w:val="TableContents"/>
              <w:bidi w:val="0"/>
              <w:spacing w:before="0" w:after="283"/>
              <w:jc w:val="right"/>
              <w:rPr>
                <w:b/>
              </w:rPr>
            </w:pPr>
            <w:r>
              <w:rPr>
                <w:b/>
              </w:rPr>
              <w:t>(429,251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156" w:type="dxa"/>
            <w:tcBorders/>
            <w:shd w:fill="CCEEFF" w:val="clear"/>
            <w:vAlign w:val="bottom"/>
          </w:tcPr>
          <w:p>
            <w:pPr>
              <w:pStyle w:val="TableContents"/>
              <w:bidi w:val="0"/>
              <w:spacing w:before="0" w:after="283"/>
              <w:jc w:val="right"/>
              <w:rPr>
                <w:b/>
              </w:rPr>
            </w:pPr>
            <w:r>
              <w:rPr>
                <w:b/>
              </w:rPr>
              <w:t>(283,810</w:t>
            </w:r>
          </w:p>
        </w:tc>
        <w:tc>
          <w:tcPr>
            <w:tcW w:w="155" w:type="dxa"/>
            <w:tcBorders/>
            <w:shd w:fill="CCEEFF" w:val="clear"/>
            <w:vAlign w:val="bottom"/>
          </w:tcPr>
          <w:p>
            <w:pPr>
              <w:pStyle w:val="TableContents"/>
              <w:bidi w:val="0"/>
              <w:spacing w:before="0" w:after="283"/>
              <w:jc w:val="left"/>
              <w:rPr>
                <w:b/>
              </w:rPr>
            </w:pPr>
            <w:r>
              <w:rPr>
                <w:b/>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Retroactive application of recapitalization</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(34,712,525</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(173,347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34,712,525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(96,887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173,342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173,347</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Adjusted balancebeginning of period</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48,376,052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318,783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(429,251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(110,463</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Conversion of convertible notes</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31,433,259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314,331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314,334</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exercise of warrants</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7,505,657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75,056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75,057</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Merger and PIPE financing</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2,854,242</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33,061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11,408,957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(117,411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(8,754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(126,164</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Payment of Shareholder note receivable</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200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200</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common stock to advisors</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94,949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common stock warrants</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167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167</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11,040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11,040</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(147,761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(147,761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Balance as of March 31, 2025</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 </w:t>
            </w:r>
          </w:p>
        </w:tc>
        <w:tc>
          <w:tcPr>
            <w:tcW w:w="15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899"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b/>
              </w:rPr>
            </w:pPr>
            <w:r>
              <w:rPr>
                <w:b/>
              </w:rPr>
              <w:t>2,854,242</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b/>
              </w:rPr>
            </w:pPr>
            <w:r>
              <w:rPr>
                <w:b/>
              </w:rPr>
              <w:t>$</w:t>
            </w:r>
          </w:p>
        </w:tc>
        <w:tc>
          <w:tcPr>
            <w:tcW w:w="833" w:type="dxa"/>
            <w:tcBorders/>
            <w:vAlign w:val="bottom"/>
          </w:tcPr>
          <w:p>
            <w:pPr>
              <w:pStyle w:val="TableContents"/>
              <w:bidi w:val="0"/>
              <w:spacing w:before="0" w:after="283"/>
              <w:jc w:val="right"/>
              <w:rPr>
                <w:b/>
              </w:rPr>
            </w:pPr>
            <w:r>
              <w:rPr>
                <w:b/>
              </w:rPr>
              <w:t>33,061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98,818,874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559" w:type="dxa"/>
            <w:tcBorders/>
            <w:vAlign w:val="bottom"/>
          </w:tcPr>
          <w:p>
            <w:pPr>
              <w:pStyle w:val="TableContents"/>
              <w:bidi w:val="0"/>
              <w:spacing w:before="0" w:after="283"/>
              <w:jc w:val="right"/>
              <w:rPr>
                <w:b/>
              </w:rPr>
            </w:pPr>
            <w:r>
              <w:rPr>
                <w:b/>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b/>
              </w:rPr>
            </w:pPr>
            <w:r>
              <w:rPr>
                <w:b/>
              </w:rPr>
              <w:t>$</w:t>
            </w:r>
          </w:p>
        </w:tc>
        <w:tc>
          <w:tcPr>
            <w:tcW w:w="43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b/>
              </w:rPr>
            </w:pPr>
            <w:r>
              <w:rPr>
                <w:b/>
              </w:rPr>
              <w:t>$</w:t>
            </w:r>
          </w:p>
        </w:tc>
        <w:tc>
          <w:tcPr>
            <w:tcW w:w="949" w:type="dxa"/>
            <w:tcBorders/>
            <w:vAlign w:val="bottom"/>
          </w:tcPr>
          <w:p>
            <w:pPr>
              <w:pStyle w:val="TableContents"/>
              <w:bidi w:val="0"/>
              <w:spacing w:before="0" w:after="283"/>
              <w:jc w:val="right"/>
              <w:rPr>
                <w:b/>
              </w:rPr>
            </w:pPr>
            <w:r>
              <w:rPr>
                <w:b/>
              </w:rPr>
              <w:t>602,266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049" w:type="dxa"/>
            <w:tcBorders/>
            <w:vAlign w:val="bottom"/>
          </w:tcPr>
          <w:p>
            <w:pPr>
              <w:pStyle w:val="TableContents"/>
              <w:bidi w:val="0"/>
              <w:spacing w:before="0" w:after="283"/>
              <w:jc w:val="right"/>
              <w:rPr>
                <w:b/>
              </w:rPr>
            </w:pPr>
            <w:r>
              <w:rPr>
                <w:b/>
              </w:rPr>
              <w:t>(8,554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(577,012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156" w:type="dxa"/>
            <w:tcBorders/>
            <w:vAlign w:val="bottom"/>
          </w:tcPr>
          <w:p>
            <w:pPr>
              <w:pStyle w:val="TableContents"/>
              <w:bidi w:val="0"/>
              <w:spacing w:before="0" w:after="283"/>
              <w:jc w:val="right"/>
              <w:rPr>
                <w:b/>
              </w:rPr>
            </w:pPr>
            <w:r>
              <w:rPr>
                <w:b/>
              </w:rPr>
              <w:t>16,710</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8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0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5722" w:type="dxa"/>
        <w:jc w:val="center"/>
        <w:tblInd w:w="0" w:type="dxa"/>
        <w:tblLayout w:type="fixed"/>
        <w:tblCellMar>
          <w:top w:w="0" w:type="dxa"/>
          <w:left w:w="0" w:type="dxa"/>
          <w:bottom w:w="0" w:type="dxa"/>
          <w:right w:w="0" w:type="dxa"/>
        </w:tblCellMar>
      </w:tblPr>
      <w:tblGrid>
        <w:gridCol w:w="1070"/>
        <w:gridCol w:w="60"/>
        <w:gridCol w:w="60"/>
        <w:gridCol w:w="1175"/>
        <w:gridCol w:w="155"/>
        <w:gridCol w:w="60"/>
        <w:gridCol w:w="140"/>
        <w:gridCol w:w="875"/>
        <w:gridCol w:w="155"/>
        <w:gridCol w:w="60"/>
        <w:gridCol w:w="212"/>
        <w:gridCol w:w="498"/>
        <w:gridCol w:w="126"/>
        <w:gridCol w:w="126"/>
        <w:gridCol w:w="428"/>
        <w:gridCol w:w="432"/>
        <w:gridCol w:w="60"/>
        <w:gridCol w:w="60"/>
        <w:gridCol w:w="60"/>
        <w:gridCol w:w="1100"/>
        <w:gridCol w:w="60"/>
        <w:gridCol w:w="60"/>
        <w:gridCol w:w="430"/>
        <w:gridCol w:w="430"/>
        <w:gridCol w:w="60"/>
        <w:gridCol w:w="60"/>
        <w:gridCol w:w="60"/>
        <w:gridCol w:w="755"/>
        <w:gridCol w:w="155"/>
        <w:gridCol w:w="60"/>
        <w:gridCol w:w="430"/>
        <w:gridCol w:w="430"/>
        <w:gridCol w:w="60"/>
        <w:gridCol w:w="60"/>
        <w:gridCol w:w="163"/>
        <w:gridCol w:w="937"/>
        <w:gridCol w:w="60"/>
        <w:gridCol w:w="60"/>
        <w:gridCol w:w="640"/>
        <w:gridCol w:w="640"/>
        <w:gridCol w:w="60"/>
        <w:gridCol w:w="60"/>
        <w:gridCol w:w="188"/>
        <w:gridCol w:w="1182"/>
        <w:gridCol w:w="155"/>
        <w:gridCol w:w="60"/>
        <w:gridCol w:w="184"/>
        <w:gridCol w:w="1156"/>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465" w:type="dxa"/>
            <w:gridSpan w:val="6"/>
            <w:vMerge w:val="restart"/>
            <w:tcBorders>
              <w:bottom w:val="single" w:sz="8" w:space="0" w:color="000000"/>
            </w:tcBorders>
            <w:tcMar>
              <w:bottom w:w="28" w:type="dxa"/>
            </w:tcMar>
            <w:vAlign w:val="bottom"/>
          </w:tcPr>
          <w:p>
            <w:pPr>
              <w:pStyle w:val="TableContents"/>
              <w:bidi w:val="0"/>
              <w:spacing w:before="0" w:after="283"/>
              <w:jc w:val="center"/>
              <w:rPr/>
            </w:pPr>
            <w:r>
              <w:rPr>
                <w:b/>
              </w:rPr>
              <w:t>Redeemable</w:t>
              <w:br/>
              <w:t>Convertible</w:t>
            </w:r>
            <w:r>
              <w:rPr/>
              <w:br/>
            </w:r>
            <w:r>
              <w:rPr>
                <w:b/>
              </w:rPr>
              <w:t>Preferred Stock</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822" w:type="dxa"/>
            <w:gridSpan w:val="6"/>
            <w:vMerge w:val="restart"/>
            <w:tcBorders>
              <w:bottom w:val="single" w:sz="8" w:space="0" w:color="000000"/>
            </w:tcBorders>
            <w:tcMar>
              <w:bottom w:w="28" w:type="dxa"/>
            </w:tcMar>
            <w:vAlign w:val="bottom"/>
          </w:tcPr>
          <w:p>
            <w:pPr>
              <w:pStyle w:val="TableContents"/>
              <w:bidi w:val="0"/>
              <w:spacing w:before="0" w:after="283"/>
              <w:jc w:val="center"/>
              <w:rPr/>
            </w:pPr>
            <w:r>
              <w:rPr>
                <w:b/>
              </w:rPr>
              <w:t>Common Stock</w:t>
              <w:br/>
              <w:t>Subject</w:t>
            </w:r>
            <w:r>
              <w:rPr/>
              <w:br/>
            </w:r>
            <w:r>
              <w:rPr>
                <w:b/>
              </w:rPr>
              <w:t>to Possible</w:t>
              <w:br/>
              <w:t>Redemption</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15"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Stockholders Deficit</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2465" w:type="dxa"/>
            <w:gridSpan w:val="6"/>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22" w:type="dxa"/>
            <w:gridSpan w:val="6"/>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Treasury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jc w:val="center"/>
              <w:rPr/>
            </w:pPr>
            <w:r>
              <w:rPr>
                <w:b/>
              </w:rPr>
              <w:t>Additional</w:t>
            </w:r>
            <w:r>
              <w:rPr/>
              <w:t xml:space="preserve"> </w:t>
            </w:r>
          </w:p>
          <w:p>
            <w:pPr>
              <w:pStyle w:val="TableContents"/>
              <w:bidi w:val="0"/>
              <w:spacing w:before="0" w:after="0"/>
              <w:jc w:val="right"/>
              <w:rPr>
                <w:rFonts w:ascii="Times New Roman" w:hAnsi="Times New Roman"/>
                <w:b/>
                <w:sz w:val="16"/>
              </w:rPr>
            </w:pPr>
            <w:r>
              <w:rPr>
                <w:rFonts w:ascii="Times New Roman" w:hAnsi="Times New Roman"/>
                <w:b/>
                <w:sz w:val="16"/>
              </w:rPr>
              <w:t>Paid-in</w:t>
              <w:b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280" w:type="dxa"/>
            <w:gridSpan w:val="2"/>
            <w:vMerge w:val="restart"/>
            <w:tcBorders>
              <w:bottom w:val="single" w:sz="8" w:space="0" w:color="000000"/>
            </w:tcBorders>
            <w:tcMar>
              <w:bottom w:w="28" w:type="dxa"/>
            </w:tcMar>
            <w:vAlign w:val="bottom"/>
          </w:tcPr>
          <w:p>
            <w:pPr>
              <w:pStyle w:val="TableContents"/>
              <w:bidi w:val="0"/>
              <w:jc w:val="center"/>
              <w:rPr/>
            </w:pPr>
            <w:r>
              <w:rPr>
                <w:b/>
              </w:rPr>
              <w:t>Shareholder</w:t>
              <w:br/>
              <w:t>Note</w:t>
            </w:r>
            <w:r>
              <w:rPr/>
              <w:t xml:space="preserve"> </w:t>
            </w:r>
          </w:p>
          <w:p>
            <w:pPr>
              <w:pStyle w:val="TableContents"/>
              <w:bidi w:val="0"/>
              <w:spacing w:before="0" w:after="0"/>
              <w:jc w:val="right"/>
              <w:rPr>
                <w:rFonts w:ascii="Times New Roman" w:hAnsi="Times New Roman"/>
                <w:b/>
                <w:sz w:val="16"/>
              </w:rPr>
            </w:pPr>
            <w:r>
              <w:rPr>
                <w:rFonts w:ascii="Times New Roman" w:hAnsi="Times New Roman"/>
                <w:b/>
                <w:sz w:val="16"/>
              </w:rPr>
              <w:t>Receivable</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i/>
              </w:rPr>
            </w:pPr>
            <w:r>
              <w:rPr>
                <w:i/>
              </w:rPr>
              <w:t>(Amounts in thousands, except</w:t>
              <w:br/>
              <w:t>shares)</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2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280"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7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34,712,525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173,347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4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13,613,269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96,887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141,496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(368,056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(226,560</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Retroactive application of recapitalization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(34,712,525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(173,347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34,712,525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(96,887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173,342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173,347</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single" w:sz="2" w:space="1" w:color="000000"/>
              </w:pBdr>
              <w:bidi w:val="0"/>
              <w:spacing w:before="0" w:after="0"/>
              <w:jc w:val="left"/>
              <w:rPr/>
            </w:pPr>
            <w:r>
              <w:rPr/>
              <w:t> </w:t>
            </w:r>
          </w:p>
        </w:tc>
        <w:tc>
          <w:tcPr>
            <w:tcW w:w="4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Adjusted balancebeginning of period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48,325,794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314,838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(368,056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(53,213</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337</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(16,743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(16,743</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single" w:sz="2" w:space="1" w:color="000000"/>
              </w:pBdr>
              <w:bidi w:val="0"/>
              <w:spacing w:before="0" w:after="0"/>
              <w:jc w:val="left"/>
              <w:rPr/>
            </w:pPr>
            <w:r>
              <w:rPr/>
              <w:t> </w:t>
            </w:r>
          </w:p>
        </w:tc>
        <w:tc>
          <w:tcPr>
            <w:tcW w:w="4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Balance as of March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right"/>
              <w:rPr>
                <w:b/>
              </w:rPr>
            </w:pPr>
            <w:r>
              <w:rPr>
                <w:b/>
              </w:rPr>
              <w:t> </w:t>
            </w:r>
          </w:p>
        </w:tc>
        <w:tc>
          <w:tcPr>
            <w:tcW w:w="12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b/>
              </w:rPr>
            </w:pPr>
            <w:r>
              <w:rPr>
                <w:b/>
              </w:rPr>
              <w:t>$</w:t>
            </w:r>
          </w:p>
        </w:tc>
        <w:tc>
          <w:tcPr>
            <w:tcW w:w="43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48,325,794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b/>
              </w:rPr>
            </w:pPr>
            <w:r>
              <w:rPr>
                <w:b/>
              </w:rPr>
              <w:t>$</w:t>
            </w:r>
          </w:p>
        </w:tc>
        <w:tc>
          <w:tcPr>
            <w:tcW w:w="430" w:type="dxa"/>
            <w:tcBorders/>
            <w:vAlign w:val="bottom"/>
          </w:tcPr>
          <w:p>
            <w:pPr>
              <w:pStyle w:val="TableContents"/>
              <w:bidi w:val="0"/>
              <w:spacing w:before="0" w:after="283"/>
              <w:jc w:val="right"/>
              <w:rPr>
                <w:b/>
              </w:rPr>
            </w:pPr>
            <w:r>
              <w:rPr>
                <w:b/>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b/>
              </w:rPr>
            </w:pPr>
            <w:r>
              <w:rPr>
                <w:b/>
              </w:rPr>
              <w:t>$</w:t>
            </w:r>
          </w:p>
        </w:tc>
        <w:tc>
          <w:tcPr>
            <w:tcW w:w="43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b/>
              </w:rPr>
            </w:pPr>
            <w:r>
              <w:rPr>
                <w:b/>
              </w:rPr>
              <w:t>$</w:t>
            </w:r>
          </w:p>
        </w:tc>
        <w:tc>
          <w:tcPr>
            <w:tcW w:w="937" w:type="dxa"/>
            <w:tcBorders/>
            <w:vAlign w:val="bottom"/>
          </w:tcPr>
          <w:p>
            <w:pPr>
              <w:pStyle w:val="TableContents"/>
              <w:bidi w:val="0"/>
              <w:spacing w:before="0" w:after="283"/>
              <w:jc w:val="right"/>
              <w:rPr>
                <w:b/>
              </w:rPr>
            </w:pPr>
            <w:r>
              <w:rPr>
                <w:b/>
              </w:rPr>
              <w:t>315,175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b/>
              </w:rPr>
            </w:pPr>
            <w:r>
              <w:rPr>
                <w:b/>
              </w:rPr>
              <w:t>$</w:t>
            </w:r>
          </w:p>
        </w:tc>
        <w:tc>
          <w:tcPr>
            <w:tcW w:w="64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(384,799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156" w:type="dxa"/>
            <w:tcBorders/>
            <w:vAlign w:val="bottom"/>
          </w:tcPr>
          <w:p>
            <w:pPr>
              <w:pStyle w:val="TableContents"/>
              <w:bidi w:val="0"/>
              <w:spacing w:before="0" w:after="283"/>
              <w:jc w:val="right"/>
              <w:rPr>
                <w:b/>
              </w:rPr>
            </w:pPr>
            <w:r>
              <w:rPr>
                <w:b/>
              </w:rPr>
              <w:t>(69,619</w:t>
            </w:r>
          </w:p>
        </w:tc>
        <w:tc>
          <w:tcPr>
            <w:tcW w:w="155" w:type="dxa"/>
            <w:tcBorders/>
            <w:vAlign w:val="bottom"/>
          </w:tcPr>
          <w:p>
            <w:pPr>
              <w:pStyle w:val="TableContents"/>
              <w:bidi w:val="0"/>
              <w:spacing w:before="0" w:after="283"/>
              <w:jc w:val="left"/>
              <w:rPr>
                <w:b/>
              </w:rPr>
            </w:pPr>
            <w:r>
              <w:rPr>
                <w:b/>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498" w:type="dxa"/>
            <w:tcBorders/>
            <w:vAlign w:val="bottom"/>
          </w:tcPr>
          <w:p>
            <w:pPr>
              <w:pStyle w:val="TableContents"/>
              <w:pBdr>
                <w:top w:val="double" w:sz="6" w:space="1" w:color="000000"/>
              </w:pBdr>
              <w:bidi w:val="0"/>
              <w:spacing w:before="0" w:after="0"/>
              <w:jc w:val="left"/>
              <w:rPr/>
            </w:pPr>
            <w:r>
              <w:rPr/>
              <w:t> </w:t>
            </w:r>
          </w:p>
        </w:tc>
        <w:tc>
          <w:tcPr>
            <w:tcW w:w="126"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double" w:sz="6" w:space="1" w:color="000000"/>
              </w:pBdr>
              <w:bidi w:val="0"/>
              <w:spacing w:before="0" w:after="0"/>
              <w:jc w:val="left"/>
              <w:rPr/>
            </w:pPr>
            <w:r>
              <w:rPr/>
              <w:t> </w:t>
            </w:r>
          </w:p>
        </w:tc>
        <w:tc>
          <w:tcPr>
            <w:tcW w:w="4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b/>
          <w:sz w:val="20"/>
        </w:rPr>
      </w:pPr>
      <w:bookmarkStart w:id="8" w:name="l10q63969_6"/>
      <w:bookmarkEnd w:id="8"/>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i/>
          <w:sz w:val="16"/>
        </w:rPr>
      </w:pPr>
      <w:r>
        <w:rPr>
          <w:rFonts w:ascii="Times New Roman" w:hAnsi="Times New Roman"/>
          <w:b/>
          <w:i/>
          <w:sz w:val="16"/>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51"/>
        <w:gridCol w:w="159"/>
        <w:gridCol w:w="214"/>
        <w:gridCol w:w="1371"/>
        <w:gridCol w:w="237"/>
        <w:gridCol w:w="137"/>
        <w:gridCol w:w="214"/>
        <w:gridCol w:w="1164"/>
        <w:gridCol w:w="158"/>
      </w:tblGrid>
      <w:tr>
        <w:trPr/>
        <w:tc>
          <w:tcPr>
            <w:tcW w:w="655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3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i/>
              </w:rPr>
            </w:pPr>
            <w:r>
              <w:rPr>
                <w:i/>
              </w:rPr>
              <w:t>(Amounts in thousands)</w:t>
            </w:r>
          </w:p>
        </w:tc>
        <w:tc>
          <w:tcPr>
            <w:tcW w:w="159" w:type="dxa"/>
            <w:tcBorders/>
            <w:vAlign w:val="bottom"/>
          </w:tcPr>
          <w:p>
            <w:pPr>
              <w:pStyle w:val="TableContents"/>
              <w:bidi w:val="0"/>
              <w:spacing w:before="0" w:after="283"/>
              <w:jc w:val="left"/>
              <w:rPr/>
            </w:pPr>
            <w:r>
              <w:rPr/>
              <w:t>  </w:t>
            </w:r>
          </w:p>
        </w:tc>
        <w:tc>
          <w:tcPr>
            <w:tcW w:w="15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371"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6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371" w:type="dxa"/>
            <w:tcBorders/>
            <w:vAlign w:val="bottom"/>
          </w:tcPr>
          <w:p>
            <w:pPr>
              <w:pStyle w:val="TableContents"/>
              <w:bidi w:val="0"/>
              <w:spacing w:before="0" w:after="283"/>
              <w:jc w:val="right"/>
              <w:rPr/>
            </w:pPr>
            <w:r>
              <w:rPr/>
              <w:t>(147,761</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64" w:type="dxa"/>
            <w:tcBorders/>
            <w:vAlign w:val="bottom"/>
          </w:tcPr>
          <w:p>
            <w:pPr>
              <w:pStyle w:val="TableContents"/>
              <w:bidi w:val="0"/>
              <w:spacing w:before="0" w:after="283"/>
              <w:jc w:val="right"/>
              <w:rPr/>
            </w:pPr>
            <w:r>
              <w:rPr/>
              <w:t>(16,743</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371"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6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191</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253</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150</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153</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11,040</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337</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Credit loss expense</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421</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(10</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(23</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share liabilities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(116,518</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165,703</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4,651</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60,345</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3,515</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43</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371"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6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(953</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(2,138</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 related party</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(30</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178</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(1,767</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8,504</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33</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8</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170</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3,583</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5,286</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Advances from related party</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(114</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(152</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(140</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(95</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100</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loss on purchase commitments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(2</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(1,581</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150</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322</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(234</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(182</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b/>
              </w:rPr>
            </w:pPr>
            <w:r>
              <w:rPr>
                <w:b/>
              </w:rPr>
              <w:t>(15,944</w:t>
            </w:r>
          </w:p>
        </w:tc>
        <w:tc>
          <w:tcPr>
            <w:tcW w:w="237" w:type="dxa"/>
            <w:tcBorders/>
            <w:vAlign w:val="bottom"/>
          </w:tcPr>
          <w:p>
            <w:pPr>
              <w:pStyle w:val="TableContents"/>
              <w:bidi w:val="0"/>
              <w:spacing w:before="0" w:after="283"/>
              <w:jc w:val="left"/>
              <w:rPr>
                <w:b/>
              </w:rPr>
            </w:pPr>
            <w:r>
              <w:rPr>
                <w:b/>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b/>
              </w:rPr>
            </w:pPr>
            <w:r>
              <w:rPr>
                <w:b/>
              </w:rPr>
              <w:t>(7,363</w:t>
            </w:r>
          </w:p>
        </w:tc>
        <w:tc>
          <w:tcPr>
            <w:tcW w:w="158" w:type="dxa"/>
            <w:tcBorders/>
            <w:vAlign w:val="bottom"/>
          </w:tcPr>
          <w:p>
            <w:pPr>
              <w:pStyle w:val="TableContents"/>
              <w:bidi w:val="0"/>
              <w:spacing w:before="0" w:after="283"/>
              <w:jc w:val="left"/>
              <w:rPr>
                <w:b/>
              </w:rPr>
            </w:pPr>
            <w:r>
              <w:rPr>
                <w:b/>
              </w:rPr>
              <w:t>) </w:t>
            </w:r>
          </w:p>
        </w:tc>
      </w:tr>
      <w:tr>
        <w:trPr/>
        <w:tc>
          <w:tcPr>
            <w:tcW w:w="65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371"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6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(661</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(177</w:t>
            </w:r>
          </w:p>
        </w:tc>
        <w:tc>
          <w:tcPr>
            <w:tcW w:w="158" w:type="dxa"/>
            <w:tcBorders/>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b/>
              </w:rPr>
            </w:pPr>
            <w:r>
              <w:rPr>
                <w:b/>
              </w:rPr>
              <w:t>(661</w:t>
            </w:r>
          </w:p>
        </w:tc>
        <w:tc>
          <w:tcPr>
            <w:tcW w:w="237" w:type="dxa"/>
            <w:tcBorders/>
            <w:shd w:fill="CCEEFF" w:val="clear"/>
            <w:vAlign w:val="bottom"/>
          </w:tcPr>
          <w:p>
            <w:pPr>
              <w:pStyle w:val="TableContents"/>
              <w:bidi w:val="0"/>
              <w:spacing w:before="0" w:after="283"/>
              <w:jc w:val="left"/>
              <w:rPr>
                <w:b/>
              </w:rPr>
            </w:pPr>
            <w:r>
              <w:rPr>
                <w:b/>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b/>
              </w:rPr>
            </w:pPr>
            <w:r>
              <w:rPr>
                <w:b/>
              </w:rPr>
              <w:t>(177</w:t>
            </w:r>
          </w:p>
        </w:tc>
        <w:tc>
          <w:tcPr>
            <w:tcW w:w="158" w:type="dxa"/>
            <w:tcBorders/>
            <w:shd w:fill="CCEEFF" w:val="clear"/>
            <w:vAlign w:val="bottom"/>
          </w:tcPr>
          <w:p>
            <w:pPr>
              <w:pStyle w:val="TableContents"/>
              <w:bidi w:val="0"/>
              <w:spacing w:before="0" w:after="283"/>
              <w:jc w:val="left"/>
              <w:rPr>
                <w:b/>
              </w:rPr>
            </w:pPr>
            <w:r>
              <w:rPr>
                <w:b/>
              </w:rPr>
              <w:t>) </w:t>
            </w:r>
          </w:p>
        </w:tc>
      </w:tr>
      <w:tr>
        <w:trPr/>
        <w:tc>
          <w:tcPr>
            <w:tcW w:w="6551"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37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6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Merger and PIPE financing, net of transaction costs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15,874</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Payment of deferred offering costs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(4,531</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(128</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convertible notes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11,500</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b/>
              </w:rPr>
            </w:pPr>
            <w:r>
              <w:rPr>
                <w:b/>
              </w:rPr>
              <w:t>11,343</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b/>
              </w:rPr>
            </w:pPr>
            <w:r>
              <w:rPr>
                <w:b/>
              </w:rPr>
              <w:t>11,372</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 cash equivalents and restricted cash</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b/>
              </w:rPr>
            </w:pPr>
            <w:r>
              <w:rPr>
                <w:b/>
              </w:rPr>
              <w:t>(5,262</w:t>
            </w:r>
          </w:p>
        </w:tc>
        <w:tc>
          <w:tcPr>
            <w:tcW w:w="237" w:type="dxa"/>
            <w:tcBorders/>
            <w:shd w:fill="CCEEFF" w:val="clear"/>
            <w:vAlign w:val="bottom"/>
          </w:tcPr>
          <w:p>
            <w:pPr>
              <w:pStyle w:val="TableContents"/>
              <w:bidi w:val="0"/>
              <w:spacing w:before="0" w:after="283"/>
              <w:jc w:val="left"/>
              <w:rPr>
                <w:b/>
              </w:rPr>
            </w:pPr>
            <w:r>
              <w:rPr>
                <w:b/>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b/>
              </w:rPr>
            </w:pPr>
            <w:r>
              <w:rPr>
                <w:b/>
              </w:rPr>
              <w:t>3,832</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50,488</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3,213</w:t>
            </w:r>
          </w:p>
        </w:tc>
        <w:tc>
          <w:tcPr>
            <w:tcW w:w="158" w:type="dxa"/>
            <w:tcBorders/>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end of period</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1371" w:type="dxa"/>
            <w:tcBorders/>
            <w:shd w:fill="CCEEFF" w:val="clear"/>
            <w:vAlign w:val="bottom"/>
          </w:tcPr>
          <w:p>
            <w:pPr>
              <w:pStyle w:val="TableContents"/>
              <w:bidi w:val="0"/>
              <w:spacing w:before="0" w:after="283"/>
              <w:jc w:val="right"/>
              <w:rPr>
                <w:b/>
              </w:rPr>
            </w:pPr>
            <w:r>
              <w:rPr>
                <w:b/>
              </w:rPr>
              <w:t>45,226</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1164" w:type="dxa"/>
            <w:tcBorders/>
            <w:shd w:fill="CCEEFF" w:val="clear"/>
            <w:vAlign w:val="bottom"/>
          </w:tcPr>
          <w:p>
            <w:pPr>
              <w:pStyle w:val="TableContents"/>
              <w:bidi w:val="0"/>
              <w:spacing w:before="0" w:after="283"/>
              <w:jc w:val="right"/>
              <w:rPr>
                <w:b/>
              </w:rPr>
            </w:pPr>
            <w:r>
              <w:rPr>
                <w:b/>
              </w:rPr>
              <w:t>7,045</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371" w:type="dxa"/>
            <w:tcBorders/>
            <w:vAlign w:val="bottom"/>
          </w:tcPr>
          <w:p>
            <w:pPr>
              <w:pStyle w:val="TableContents"/>
              <w:pBdr>
                <w:top w:val="double" w:sz="6"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6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b/>
                <w:sz w:val="20"/>
              </w:rPr>
            </w:pPr>
            <w:r>
              <w:rPr>
                <w:rFonts w:ascii="Times New Roman" w:hAnsi="Times New Roman"/>
                <w:b/>
                <w:sz w:val="20"/>
              </w:rPr>
              <w:t>Components of cash, cash equivalents and restricted cash:</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37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6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44,967</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64" w:type="dxa"/>
            <w:tcBorders/>
            <w:shd w:fill="CCEEFF" w:val="clear"/>
            <w:vAlign w:val="bottom"/>
          </w:tcPr>
          <w:p>
            <w:pPr>
              <w:pStyle w:val="TableContents"/>
              <w:bidi w:val="0"/>
              <w:spacing w:before="0" w:after="283"/>
              <w:jc w:val="right"/>
              <w:rPr/>
            </w:pPr>
            <w:r>
              <w:rPr/>
              <w:t>7,045</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(included within other assets)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259</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1371" w:type="dxa"/>
            <w:tcBorders/>
            <w:shd w:fill="CCEEFF" w:val="clear"/>
            <w:vAlign w:val="bottom"/>
          </w:tcPr>
          <w:p>
            <w:pPr>
              <w:pStyle w:val="TableContents"/>
              <w:bidi w:val="0"/>
              <w:spacing w:before="0" w:after="283"/>
              <w:jc w:val="right"/>
              <w:rPr>
                <w:b/>
              </w:rPr>
            </w:pPr>
            <w:r>
              <w:rPr>
                <w:b/>
              </w:rPr>
              <w:t>45,226</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1164" w:type="dxa"/>
            <w:tcBorders/>
            <w:shd w:fill="CCEEFF" w:val="clear"/>
            <w:vAlign w:val="bottom"/>
          </w:tcPr>
          <w:p>
            <w:pPr>
              <w:pStyle w:val="TableContents"/>
              <w:bidi w:val="0"/>
              <w:spacing w:before="0" w:after="283"/>
              <w:jc w:val="right"/>
              <w:rPr>
                <w:b/>
              </w:rPr>
            </w:pPr>
            <w:r>
              <w:rPr>
                <w:b/>
              </w:rPr>
              <w:t>7,045</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371" w:type="dxa"/>
            <w:tcBorders/>
            <w:vAlign w:val="bottom"/>
          </w:tcPr>
          <w:p>
            <w:pPr>
              <w:pStyle w:val="TableContents"/>
              <w:pBdr>
                <w:top w:val="double" w:sz="6"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6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cash flow disclosures: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37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6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129</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64" w:type="dxa"/>
            <w:tcBorders/>
            <w:shd w:fill="CCEEFF" w:val="clear"/>
            <w:vAlign w:val="bottom"/>
          </w:tcPr>
          <w:p>
            <w:pPr>
              <w:pStyle w:val="TableContents"/>
              <w:bidi w:val="0"/>
              <w:spacing w:before="0" w:after="283"/>
              <w:jc w:val="right"/>
              <w:rPr/>
            </w:pPr>
            <w:r>
              <w:rPr/>
              <w:t>60</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non-cash disclosures: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37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6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acquired in accounts payable and accrued expenses and other current liabilities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497</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123</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deferred offering costs included in accounts payable and accrued expenses and other current liabilities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 </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154</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warrants with convertible notes</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909</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convertible notes to common stock</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314,334</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exercise of warrants for common stock</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75,056</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551"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warrants for professional services</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167</w:t>
            </w:r>
          </w:p>
        </w:tc>
        <w:tc>
          <w:tcPr>
            <w:tcW w:w="23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for shareholder note receivable</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8,754</w:t>
            </w:r>
          </w:p>
        </w:tc>
        <w:tc>
          <w:tcPr>
            <w:tcW w:w="23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b/>
          <w:sz w:val="20"/>
        </w:rPr>
      </w:pPr>
      <w:bookmarkStart w:id="9" w:name="l10q63969_7"/>
      <w:bookmarkEnd w:id="9"/>
      <w:r>
        <w:rPr>
          <w:rFonts w:ascii="Times New Roman" w:hAnsi="Times New Roman"/>
          <w:b/>
          <w:sz w:val="20"/>
        </w:rPr>
        <w:t xml:space="preserve">NOTES TO THE CONDENSED CONSOLIDATED FINANCIAL STATEMENTS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Note 1. Organization and Description of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Organization </w:t>
      </w:r>
    </w:p>
    <w:p>
      <w:pPr>
        <w:pStyle w:val="TextBody"/>
        <w:bidi w:val="0"/>
        <w:spacing w:before="120" w:after="0"/>
        <w:jc w:val="left"/>
        <w:rPr>
          <w:rFonts w:ascii="Times New Roman" w:hAnsi="Times New Roman"/>
          <w:sz w:val="20"/>
        </w:rPr>
      </w:pPr>
      <w:r>
        <w:rPr>
          <w:rFonts w:ascii="Times New Roman" w:hAnsi="Times New Roman"/>
          <w:sz w:val="20"/>
        </w:rPr>
        <w:t xml:space="preserve">Blaize Holdings, Inc. (together with its subsidiaries, the Company, Blaize, we, our, us, or the registrant,) is headquartered in El Dorado Hills, California, and consists of four separate operating entities: Blaize, Inc. (United States of America), Blaize New Computing Technologies India Private Limited (India), Blaize Technologies Philippines, Inc. (Philippines) and Blaize U.K. LTD (England).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Blaize designs and develops low-power, high-efficiency, programmable artificial intelligence (AI) edge computing hardware and software. The Company leads a new generation of computing, which unleashes the potential of AI in order to enable significant increases in the value that technology delivers to improve the way people work and live. Blaize offers transformative edge computing solutions for AI data collection and processing, with a focus on smart vision and other AI applications for the automotive, retail, security and industrial markets.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Blaize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in the entity. As of March 31, 2025, there has not been an operating agreement executed between the Company and the holder of the 65% interest that would make us the primary beneficiary of this new legal entity. The newly established entity has incurred insignificant expenses since its incorporation. </w:t>
      </w:r>
    </w:p>
    <w:p>
      <w:pPr>
        <w:pStyle w:val="TextBody"/>
        <w:bidi w:val="0"/>
        <w:spacing w:before="240" w:after="0"/>
        <w:jc w:val="left"/>
        <w:rPr>
          <w:rFonts w:ascii="Times New Roman" w:hAnsi="Times New Roman"/>
          <w:sz w:val="20"/>
        </w:rPr>
      </w:pPr>
      <w:r>
        <w:rPr>
          <w:rFonts w:ascii="Times New Roman" w:hAnsi="Times New Roman"/>
          <w:sz w:val="20"/>
        </w:rPr>
        <w:t xml:space="preserve">In the first quarter of 2025, the U.S. government announced a series of new tariff policies affecting imports from several countries, including China. While these actions impact a range of global trade flows, the new tariffs targeting imports from China are the most significant for our business. While the ultimate implications of the tariffs remain unclear, they could materially increase the Companys import costs and potentially lead to higher prices that reduce consumer demand. The Company is monitoring the situation closely and is proactively evaluating strategies to mitigate the impact on its supply chain and margins. These efforts include exploring alternative sourcing outside of China, working with our suppliers to manage cost increases, and implementing price increases. These actions that we take may not fully offset the impact of tariffs and, as a result, our revenues, gross margins and overall financial performance may be materially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and Reverse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(the Closing Date), the Company consummated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Merger, BurTech was renamed Blaize Holdings, Inc. Beginning on January 14, 2025, Blaizes common stock and warrants trade on Nasdaq under the ticker symbols BZAI and BZAIW, respectively (see Note 3).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is accounted for as a reverse recapitalization, with BurTech being treated as the acquired company and Legacy Blaize was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the Merger, BurTech LP, LLC was the sponsor (the Sponsor, BurTech LP) of BurTech and with the close of the Merger, BurTech LP and its affiliated entities, have remained a significant shareholder in Blaize.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Since the inception of the Company and through March 31, 2025, the Company has funded its operations primarily with cash flows from contributions from founders or other investors and other financing activities. The Company has incurred recurring losses and negative cash flows since its inception, including net losses of $147.8 million and $16.7 million for the three months ended March 31, 2025 and 2024, respectively. As of March 31, 2025, the Company had cash and cash equivalents of approximately $45.0 million, and an accumulated deficit of $577.0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If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above, in connection with its assessment of going concern considerations in accordance with Financial Accounting Standard Boards (FASB) Accounting Standards Update (ASU) 2014-15, </w:t>
      </w:r>
      <w:r>
        <w:rPr>
          <w:rFonts w:ascii="Times New Roman" w:hAnsi="Times New Roman"/>
          <w:i/>
          <w:sz w:val="20"/>
        </w:rPr>
        <w:t>Disclosures of Uncertainties about an Entitys Ability to Continue as a Going Concern</w:t>
      </w:r>
      <w:r>
        <w:rPr>
          <w:rFonts w:ascii="Times New Roman" w:hAnsi="Times New Roman"/>
          <w:sz w:val="20"/>
        </w:rPr>
        <w:t xml:space="preserve">, management has determined that the Companys liquidity condition raises substantial doubt about its ability to continue as a going concern through one year from the date that these condensed consolidated financial statements are issued.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and 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These condensed consolidated financial statements have been prepared in accordance with generally accepted accounting principles in the United States (U.S. GAAP) for interim financial information and with the instructions to Form 10-Q and Rule 10-01 of Regulation S-X. Accordingly, they do not include all the information and footnotes required by U.S. GAAP for complete financial statements. The accompanying unaudited interim condensed consolidated financial statements reflect all adjustments which are, in the opinion of management, necessary for a fair statement of the results for the interim periods presented. The results of operations of any interim period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8-K/A filed with the U.S. Securities and Exchange Commission (SEC) on April 15, 2025, which provides a more complete discussion of the Companys accounting policies and certain other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values of convertible notes, warrant liabilities, earnout share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insurance limits. The Company has not experienced losses in such accounts and periodically evaluates the creditworthiness of its financial institutions.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and December 31, 2024, the Company had cash and cash equivalents balances, inclusive of funds held in escrow, in excess of domestic and international insurance limits of approximately $71.9 million and $49.3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the Company held $30.9 million in U.S. Government treasury securities, $5.3 million in U.S. Government money market funds, and $5.1 million in mutual funds, while as of December 31, 2024, the Company held $30.6 million in U.S. Government treasury securities, $9.2 million in U.S. Government money market funds, and $5.1 million in mutual funds (see Note 5).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Restricted cash represents cash balances held as security deposits related to international payment services. As of March 31, 2025 and December 31, 2024, restricted cash of $0.3 million was included within other assets on the condensed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Funds Held in Escrow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the Company held $33.4 million of cash in an interest-earning escrow account pursuant to certain non-redemption agreements entered into with several unaffiliated stockholders of the Company, whereby amounts are required to be held in a separate account at the Closing of the Merger and held until such time that certain non-redeemed shares are either sold in the open market and/or put to the Company. The funds in escrow approximate $11.57 per non-redeemed share (see Note 3).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Net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March 31, 2025 and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consist of direct incremental legal, consulting and banking fees primarily relating to the Merger (see Note 3). The capitalized costs were fully expensed upon the consummation of the Merger within transaction costs on the condensed consolidated statement of operations during the three months ended March 31, 2025. As of December 31, 2024, there were $11.1 million of capitalized deferred offering costs included in prepaid expenses and other current assets on the condensed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months ended March 31, 2025 and 2024, the Company did not recognize any impairment expense related to its long-lived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Embedded Derivative Evaluation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Legacy Blaize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consummation of the Merger, the Company accounted for its convertible notes, some of which contained predominantly fixed rate conversion features under ASU 2020-06 </w:t>
      </w:r>
      <w:r>
        <w:rPr>
          <w:rFonts w:ascii="Times New Roman" w:hAnsi="Times New Roman"/>
          <w:i/>
          <w:sz w:val="20"/>
        </w:rPr>
        <w:t>DebtDebt with Conversion and Other Options (Subtopic 470-20), Derivatives and HedgingContracts in Entitys Own Equity (Subtopic 815-40)</w:t>
      </w:r>
      <w:r>
        <w:rPr>
          <w:rFonts w:ascii="Times New Roman" w:hAnsi="Times New Roman"/>
          <w:sz w:val="20"/>
        </w:rPr>
        <w:t xml:space="preserve"> and </w:t>
      </w:r>
      <w:r>
        <w:rPr>
          <w:rFonts w:ascii="Times New Roman" w:hAnsi="Times New Roman"/>
          <w:i/>
          <w:sz w:val="20"/>
        </w:rPr>
        <w:t>Accounting for Convertible Instruments and Contracts in an Entitys Own Equity</w:t>
      </w:r>
      <w:r>
        <w:rPr>
          <w:rFonts w:ascii="Times New Roman" w:hAnsi="Times New Roman"/>
          <w:sz w:val="20"/>
        </w:rPr>
        <w:t xml:space="preserve">. The Company elected to account for its convertible notes at fair value at each period end pursuant to ASC 825, </w:t>
      </w:r>
      <w:r>
        <w:rPr>
          <w:rFonts w:ascii="Times New Roman" w:hAnsi="Times New Roman"/>
          <w:i/>
          <w:sz w:val="20"/>
        </w:rPr>
        <w:t>Financial Instruments</w:t>
      </w:r>
      <w:r>
        <w:rPr>
          <w:rFonts w:ascii="Times New Roman" w:hAnsi="Times New Roman"/>
          <w:sz w:val="20"/>
        </w:rPr>
        <w:t xml:space="preserve">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Legacy Blaize 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9). The liability associated with these warrants were subject to fair value remeasurement at each balance sheet date, with changes in fair value recorded as change in the fair value of warrant liabilities on the condensed consolidated statements of operations. The warrants were remeasured just prior to the date of the Merger and, upon the consummation of the Merger, the warrant liabilities were fully converted into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Earnout Shares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Legacy Blaize shareholders and outstanding equity award holders (including stock options and RSUs) are entitled to receive up to 15,000,000 shares of the Companys Class A common stock (the Earnout Shares) (see Note 3). Earnout Shares issued to eligible Legacy Blaize equity holders (including holders of stock options and restricted stock units (RSUs)) are considered a compensatory award and are accounted for under ASC 718, </w:t>
      </w:r>
      <w:r>
        <w:rPr>
          <w:rFonts w:ascii="Times New Roman" w:hAnsi="Times New Roman"/>
          <w:i/>
          <w:sz w:val="20"/>
        </w:rPr>
        <w:t>Share-Based Compensation</w:t>
      </w:r>
      <w:r>
        <w:rPr>
          <w:rFonts w:ascii="Times New Roman" w:hAnsi="Times New Roman"/>
          <w:sz w:val="20"/>
        </w:rPr>
        <w:t xml:space="preserve">. Further these awards have been determined to be equity classified and accordingly will not be remeasured at each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The Earnout Shares issued to Burkhan and all other equity holders not within the scope of ASC 718 in connection with consummation of the Merger, were evaluated by management under ASC 480, </w:t>
      </w:r>
      <w:r>
        <w:rPr>
          <w:rFonts w:ascii="Times New Roman" w:hAnsi="Times New Roman"/>
          <w:i/>
          <w:sz w:val="20"/>
        </w:rPr>
        <w:t>Distinguishing Liabilities from Equity</w:t>
      </w:r>
      <w:r>
        <w:rPr>
          <w:rFonts w:ascii="Times New Roman" w:hAnsi="Times New Roman"/>
          <w:sz w:val="20"/>
        </w:rPr>
        <w:t xml:space="preserve"> (see Note 3). The Company determined that the Earnout Shares are freestanding and not liability classified under ASC 480. Subsequently, management evaluated whether the Earnout Shares represented a derivative instrument pursuant to ASC 815, </w:t>
      </w:r>
      <w:r>
        <w:rPr>
          <w:rFonts w:ascii="Times New Roman" w:hAnsi="Times New Roman"/>
          <w:i/>
          <w:sz w:val="20"/>
        </w:rPr>
        <w:t>Derivatives and Hedging</w:t>
      </w:r>
      <w:r>
        <w:rPr>
          <w:rFonts w:ascii="Times New Roman" w:hAnsi="Times New Roman"/>
          <w:sz w:val="20"/>
        </w:rPr>
        <w:t xml:space="preserve">. The Company concluded that the Earnout Shares under the arrangement resulted in liability classification pursuant to ASC 815-40. The liability for such Earnout Shares will be remeasured at each reporting date with changes in the fair value recorded to earnings on the condensed consolidated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Legacy Blaize 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consummation of the Merger, the Company had (i) Series Seed Shadow Preferred Stock, (ii) Series A Shadow Preferred Stock, (iii) Shadow B Shadow Preferred Stock, (iv) Series C Shadow Preferred Stock, (v) Series D Shadow Preferred Stock, (vi) Series D Exchange Shadow Preferred Stock, (vii) Series D-1 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Merger, all shares of redeemable convertible preferred stock outstanding were converted into shares of common stock (see Note 3). All shares of redeemable convertible preferred stock which were converted into shares of common stock were retroactively adjusted using the exchange ratio and reclassified into permanent equity as a result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Common Stock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common stock subject to possible redemption in accordance with the guidance in ASC Topic 480 </w:t>
      </w:r>
      <w:r>
        <w:rPr>
          <w:rFonts w:ascii="Times New Roman" w:hAnsi="Times New Roman"/>
          <w:i/>
          <w:sz w:val="20"/>
        </w:rPr>
        <w:t>Distinguishing Liabilities from Equity</w:t>
      </w:r>
      <w:r>
        <w:rPr>
          <w:rFonts w:ascii="Times New Roman" w:hAnsi="Times New Roman"/>
          <w:sz w:val="20"/>
        </w:rPr>
        <w:t xml:space="preserve">. Certain common stock is held in escrow pursuant to Non-Redemption Agreements and feature certain redemption rights that are considered to be outside of the Companys control and within the control of the holders (see Note 3). Accordingly, as of March 31, 2025, 2,854,242 shares of common stock are subject to possible redemption, and have been presented at redemption value as temporary equity, outside of the stockholders equity (deficit) section of the condensed consolidated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changes in redemption value as they occur by adjusting the carrying value of common stock subject to possible redemption to equal the redemption value as of the end of each reporting period. Changes in the carrying amount of redeemable common stock are affected by charges against additional paid-in capital and accumulated deficit.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ASC 480 and ASC 815, Derivatives and Hedging.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March 31, 2025, the Companys outstanding public warrants and private warrants met all the requirements for equity classification under ASC 815 and therefore were classified as equity. As of December 31, 2024, Legacy Blaize warrants were classified as liabilities, as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derives revenue from product sales, license and development arrangements, joint marketing arrangements and cloud services. The Company recognizes revenue under ASC 606, </w:t>
      </w:r>
      <w:r>
        <w:rPr>
          <w:rFonts w:ascii="Times New Roman" w:hAnsi="Times New Roman"/>
          <w:i/>
          <w:sz w:val="20"/>
        </w:rPr>
        <w:t>Revenue from Contracts with Customers,</w:t>
      </w:r>
      <w:r>
        <w:rPr>
          <w:rFonts w:ascii="Times New Roman" w:hAnsi="Times New Roman"/>
          <w:sz w:val="20"/>
        </w:rPr>
        <w:t xml:space="preserve"> in which it determines revenue recognition through the following steps: </w:t>
      </w:r>
    </w:p>
    <w:p>
      <w:pPr>
        <w:pStyle w:val="TextBody"/>
        <w:bidi w:val="0"/>
        <w:spacing w:before="360" w:after="0"/>
        <w:jc w:val="left"/>
        <w:rPr>
          <w:rFonts w:ascii="Times New Roman" w:hAnsi="Times New Roman"/>
          <w:i/>
          <w:sz w:val="20"/>
        </w:rPr>
      </w:pPr>
      <w:r>
        <w:rPr>
          <w:rFonts w:ascii="Times New Roman" w:hAnsi="Times New Roman"/>
          <w:i/>
          <w:sz w:val="20"/>
        </w:rPr>
        <w:t xml:space="preserve">Step 1: Identify the contract with the customer.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 </w:t>
      </w:r>
    </w:p>
    <w:p>
      <w:pPr>
        <w:pStyle w:val="TextBody"/>
        <w:bidi w:val="0"/>
        <w:spacing w:before="360" w:after="0"/>
        <w:jc w:val="left"/>
        <w:rPr>
          <w:rFonts w:ascii="Times New Roman" w:hAnsi="Times New Roman"/>
          <w:i/>
          <w:sz w:val="20"/>
        </w:rPr>
      </w:pPr>
      <w:r>
        <w:rPr>
          <w:rFonts w:ascii="Times New Roman" w:hAnsi="Times New Roman"/>
          <w:i/>
          <w:sz w:val="20"/>
        </w:rPr>
        <w:t xml:space="preserve">Step 2: Identify the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 </w:t>
      </w:r>
    </w:p>
    <w:p>
      <w:pPr>
        <w:pStyle w:val="TextBody"/>
        <w:bidi w:val="0"/>
        <w:spacing w:before="360" w:after="0"/>
        <w:jc w:val="left"/>
        <w:rPr>
          <w:rFonts w:ascii="Times New Roman" w:hAnsi="Times New Roman"/>
          <w:i/>
          <w:sz w:val="20"/>
        </w:rPr>
      </w:pPr>
      <w:r>
        <w:rPr>
          <w:rFonts w:ascii="Times New Roman" w:hAnsi="Times New Roman"/>
          <w:i/>
          <w:sz w:val="20"/>
        </w:rPr>
        <w:t xml:space="preserve">Step 3: Determine the transaction price.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 </w:t>
      </w:r>
    </w:p>
    <w:p>
      <w:pPr>
        <w:pStyle w:val="TextBody"/>
        <w:bidi w:val="0"/>
        <w:spacing w:before="360" w:after="0"/>
        <w:jc w:val="left"/>
        <w:rPr>
          <w:rFonts w:ascii="Times New Roman" w:hAnsi="Times New Roman"/>
          <w:i/>
          <w:sz w:val="20"/>
        </w:rPr>
      </w:pPr>
      <w:r>
        <w:rPr>
          <w:rFonts w:ascii="Times New Roman" w:hAnsi="Times New Roman"/>
          <w:i/>
          <w:sz w:val="20"/>
        </w:rPr>
        <w:t xml:space="preserve">Step 4: Allocate the transaction price to the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Contracts that contain multiple performance obligations require an allocation of the transaction price to each performance obligation based on each performance obligations relative standalone selling price (SSP).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Step 5: Recognize revenue when the company satisfies a performance obligation.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 </w:t>
      </w:r>
    </w:p>
    <w:p>
      <w:pPr>
        <w:pStyle w:val="TextBody"/>
        <w:bidi w:val="0"/>
        <w:spacing w:before="240" w:after="0"/>
        <w:jc w:val="left"/>
        <w:rPr>
          <w:rFonts w:ascii="Times New Roman" w:hAnsi="Times New Roman"/>
          <w:sz w:val="20"/>
        </w:rPr>
      </w:pPr>
      <w:r>
        <w:rPr>
          <w:rFonts w:ascii="Times New Roman" w:hAnsi="Times New Roman"/>
          <w:sz w:val="20"/>
        </w:rPr>
        <w:t xml:space="preserve">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 </w:t>
      </w:r>
    </w:p>
    <w:p>
      <w:pPr>
        <w:pStyle w:val="TextBody"/>
        <w:bidi w:val="0"/>
        <w:spacing w:before="240" w:after="0"/>
        <w:jc w:val="left"/>
        <w:rPr>
          <w:rFonts w:ascii="Times New Roman" w:hAnsi="Times New Roman"/>
          <w:sz w:val="20"/>
        </w:rPr>
      </w:pPr>
      <w:r>
        <w:rPr>
          <w:rFonts w:ascii="Times New Roman" w:hAnsi="Times New Roman"/>
          <w:sz w:val="20"/>
        </w:rPr>
        <w:t xml:space="preserve">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93"/>
        <w:gridCol w:w="157"/>
        <w:gridCol w:w="250"/>
        <w:gridCol w:w="250"/>
        <w:gridCol w:w="102"/>
        <w:gridCol w:w="235"/>
        <w:gridCol w:w="239"/>
        <w:gridCol w:w="972"/>
        <w:gridCol w:w="157"/>
      </w:tblGrid>
      <w:tr>
        <w:trPr/>
        <w:tc>
          <w:tcPr>
            <w:tcW w:w="5393"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9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0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Contract Liabilities</w:t>
            </w:r>
          </w:p>
        </w:tc>
        <w:tc>
          <w:tcPr>
            <w:tcW w:w="157"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i/>
              </w:rPr>
            </w:pPr>
            <w:r>
              <w:rPr>
                <w:i/>
              </w:rPr>
              <w:t>(Amounts in thousands)</w:t>
            </w:r>
          </w:p>
        </w:tc>
        <w:tc>
          <w:tcPr>
            <w:tcW w:w="157"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January 1</w:t>
            </w:r>
          </w:p>
        </w:tc>
        <w:tc>
          <w:tcPr>
            <w:tcW w:w="15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250" w:type="dxa"/>
            <w:tcBorders/>
            <w:shd w:fill="CCEEFF" w:val="clear"/>
            <w:vAlign w:val="bottom"/>
          </w:tcPr>
          <w:p>
            <w:pPr>
              <w:pStyle w:val="TableContents"/>
              <w:bidi w:val="0"/>
              <w:spacing w:before="0" w:after="283"/>
              <w:jc w:val="right"/>
              <w:rPr/>
            </w:pPr>
            <w:r>
              <w:rPr/>
              <w:t> </w:t>
            </w:r>
          </w:p>
        </w:tc>
        <w:tc>
          <w:tcPr>
            <w:tcW w:w="10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972" w:type="dxa"/>
            <w:tcBorders/>
            <w:shd w:fill="CCEEFF" w:val="clear"/>
            <w:vAlign w:val="bottom"/>
          </w:tcPr>
          <w:p>
            <w:pPr>
              <w:pStyle w:val="TableContents"/>
              <w:bidi w:val="0"/>
              <w:spacing w:before="0" w:after="283"/>
              <w:jc w:val="right"/>
              <w:rPr/>
            </w:pPr>
            <w:r>
              <w:rPr/>
              <w:t>1,100</w:t>
            </w:r>
          </w:p>
        </w:tc>
        <w:tc>
          <w:tcPr>
            <w:tcW w:w="157"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deferred revenue</w:t>
            </w:r>
          </w:p>
        </w:tc>
        <w:tc>
          <w:tcPr>
            <w:tcW w:w="15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1,728</w:t>
            </w:r>
          </w:p>
        </w:tc>
        <w:tc>
          <w:tcPr>
            <w:tcW w:w="157"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 recognized</w:t>
            </w:r>
          </w:p>
        </w:tc>
        <w:tc>
          <w:tcPr>
            <w:tcW w:w="15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right"/>
              <w:rPr/>
            </w:pPr>
            <w:r>
              <w:rPr/>
              <w:t> </w:t>
            </w:r>
          </w:p>
        </w:tc>
        <w:tc>
          <w:tcPr>
            <w:tcW w:w="10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(183</w:t>
            </w:r>
          </w:p>
        </w:tc>
        <w:tc>
          <w:tcPr>
            <w:tcW w:w="157"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2"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Balance as of March 31</w:t>
            </w:r>
          </w:p>
        </w:tc>
        <w:tc>
          <w:tcPr>
            <w:tcW w:w="15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250" w:type="dxa"/>
            <w:tcBorders/>
            <w:vAlign w:val="bottom"/>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972" w:type="dxa"/>
            <w:tcBorders/>
            <w:vAlign w:val="bottom"/>
          </w:tcPr>
          <w:p>
            <w:pPr>
              <w:pStyle w:val="TableContents"/>
              <w:bidi w:val="0"/>
              <w:spacing w:before="0" w:after="283"/>
              <w:jc w:val="right"/>
              <w:rPr/>
            </w:pPr>
            <w:r>
              <w:rPr/>
              <w:t>2,645</w:t>
            </w:r>
          </w:p>
        </w:tc>
        <w:tc>
          <w:tcPr>
            <w:tcW w:w="157"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2"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97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defers incremental costs of obtaining a customer contract and amortizes the deferred costs over the period that the related revenue is recognized. The Company had no material incremental costs to obtain customer contracts in any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offers a standard assurance-type warranty to customers for hardware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grants RSUs to employees and non-employee consultants, which vest upon the satisfaction of both a service-based condition and a liquidity event condition, as defined. The fair value of RSUs is determined based on the Companys estimated fair value of common stock at the date of grant. Due to the Merger that occurred during the three months ended March 31, 2025, the Company recorded cumulative stock-based compensation using the accelerated attribution method for those RSUs for which the service condition has been satisfied prior to the Merger, and will record the remaining unrecognized stock-based compensation over the remainder of the requisite service period (see Note 13). The Company did not record any stock-based compensation expense associated with the RSUs during the three months ended March 31, 2024, as a liquidity event had not occurred during that period. </w:t>
      </w:r>
    </w:p>
    <w:p>
      <w:pPr>
        <w:pStyle w:val="TextBody"/>
        <w:bidi w:val="0"/>
        <w:spacing w:before="240" w:after="0"/>
        <w:jc w:val="left"/>
        <w:rPr>
          <w:rFonts w:ascii="Times New Roman" w:hAnsi="Times New Roman"/>
          <w:sz w:val="20"/>
        </w:rPr>
      </w:pPr>
      <w:r>
        <w:rPr>
          <w:rFonts w:ascii="Times New Roman" w:hAnsi="Times New Roman"/>
          <w:sz w:val="20"/>
        </w:rPr>
        <w:t xml:space="preserve">Forfeitures are recognized as they occur.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Fair Value Measurements, requires fair value measurements be classified and disclosed in one of the following pricing categories: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i/>
              </w:rPr>
              <w:t>Level</w:t>
            </w:r>
            <w:r>
              <w:rPr/>
              <w:t> </w:t>
            </w:r>
            <w:r>
              <w:rPr>
                <w:i/>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level consists of unadjusted quoted prices in active markets for identical assets or liabilities that the reporting entity can access at the measurement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i/>
              </w:rPr>
              <w:t>Level</w:t>
            </w:r>
            <w:r>
              <w:rPr/>
              <w:t> </w:t>
            </w:r>
            <w:r>
              <w:rPr>
                <w:i/>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i/>
              </w:rPr>
              <w:t>Level</w:t>
            </w:r>
            <w:r>
              <w:rPr/>
              <w:t> </w:t>
            </w:r>
            <w:r>
              <w:rPr>
                <w:i/>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carrying amounts of cash, funds held in escrow, accounts receivable, prepaid expenses and other current assets, accounts payable, accrued loss on purchase commitments, working capital loans, and accrued expenses and other liabilities approximate their fair values due to their short-term maturities.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w:t>
      </w:r>
    </w:p>
    <w:p>
      <w:pPr>
        <w:pStyle w:val="TextBody"/>
        <w:bidi w:val="0"/>
        <w:spacing w:before="120" w:after="0"/>
        <w:jc w:val="left"/>
        <w:rPr>
          <w:rFonts w:ascii="Times New Roman" w:hAnsi="Times New Roman"/>
          <w:sz w:val="20"/>
        </w:rPr>
      </w:pPr>
      <w:r>
        <w:rPr>
          <w:rFonts w:ascii="Times New Roman" w:hAnsi="Times New Roman"/>
          <w:sz w:val="20"/>
        </w:rPr>
        <w:t xml:space="preserve">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income (expense), net, in the condensed consolidated statements of operations. During the three months ended March 31, 2025 and 2024, foreign currency transaction gains and losses were immaterial.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Companys cash and cash equivalents are primarily on deposit at high-credit quality financial institutions or invested in U.S. Government treasury securities, mutual funds, and money market funds. The Companys cash accounts in a financial institution may at times exceed the Federal Depository Insurance coverage of $250,000. Investments in money markets are not insured or guaranteed by the Federal Deposit Insurance Corporation or any other government agency.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exposed to credit risk in the event of nonpayment by customers up to the amounts recorded on the consolidated balance sheets. The Company manages its accounts receivable credit risk through ongoing credit evaluation of its customers financial conditions.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one customer accounted for approximately 95% of the Companys accounts receivable. As of December 31, 2024, one customer accounted for approximately 98% of the Companys accounts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Historically, a relatively small number of customers have accounted for a significant portion of the Companys revenue. For the three months ended March 31, 2025, one customer accounted for approximately 95% of the Companys revenue. For the three months ended March 31, 2024, two customers, both related parties, accounted for approximately 61% and 39% of the Companys revenue (see Note 15).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 class method requires income (loss) available to common stockholders for the period to be allocated between common and participating securities based upon their respective rights to shares in undistributed earnings as if all income (loss) for the period had been distributed. </w:t>
      </w:r>
    </w:p>
    <w:p>
      <w:pPr>
        <w:pStyle w:val="TextBody"/>
        <w:bidi w:val="0"/>
        <w:spacing w:before="240" w:after="0"/>
        <w:jc w:val="left"/>
        <w:rPr>
          <w:rFonts w:ascii="Times New Roman" w:hAnsi="Times New Roman"/>
          <w:sz w:val="20"/>
        </w:rPr>
      </w:pPr>
      <w:r>
        <w:rPr>
          <w:rFonts w:ascii="Times New Roman" w:hAnsi="Times New Roman"/>
          <w:sz w:val="20"/>
        </w:rPr>
        <w:t xml:space="preserve">Basic net loss per share is calculated by dividing the net loss attributable to common stockholders by the weighted average number of common stock outstanding during the period, without consideration of potentially dilutive securities. Diluted net loss per share is computed by dividing the net loss attributable to common stockholders by the weighted average number of common stock and potentially dilutive securities outstanding for the period. For purposes of this calculation, stock options and warrants have been excluded from the calculation of diluted net loss per share attributable to common stockholders as their effect is anti-dilutive for all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As the Merger has been accounted for as a reverse recapitalization, net loss per share was also retroactively adjusted for periods ended prior to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June 2022, the FASB issued ASU 2022-03, </w:t>
      </w:r>
      <w:r>
        <w:rPr>
          <w:rFonts w:ascii="Times New Roman" w:hAnsi="Times New Roman"/>
          <w:i/>
          <w:sz w:val="20"/>
        </w:rPr>
        <w:t>Fair Value Measurement (Topic 820): Fair Value Measurement of Equity Securities Subject to Contractual Sale Restrictions</w:t>
      </w:r>
      <w:r>
        <w:rPr>
          <w:rFonts w:ascii="Times New Roman" w:hAnsi="Times New Roman"/>
          <w:sz w:val="20"/>
        </w:rPr>
        <w:t xml:space="preserve">. This ASU clarifies guidance in Topic 820 and introduces new disclosure requirements for equity securities subject to contractual sale restrictions that are measured at fair value in accordance with Topic 820. The Company adopted this standard on January 1, 2025. The adoption of this standard did not have an impact on the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(Topic 740): Improvements to Income Tax Disclosures.</w:t>
      </w:r>
      <w:r>
        <w:rPr>
          <w:rFonts w:ascii="Times New Roman" w:hAnsi="Times New Roman"/>
          <w:sz w:val="20"/>
        </w:rPr>
        <w:t xml:space="preserve"> This ASU enhances the transparency and decision usefulness of income tax disclosures. The Company is currently evaluating the impact that the adoption of this ASU will have on the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2024-04, </w:t>
      </w:r>
      <w:r>
        <w:rPr>
          <w:rFonts w:ascii="Times New Roman" w:hAnsi="Times New Roman"/>
          <w:i/>
          <w:sz w:val="20"/>
        </w:rPr>
        <w:t>Debt  Debt with Conversion and Other Options (Subtopic 470-20): Induced Conversions of Convertible Debt Instruments.</w:t>
      </w:r>
      <w:r>
        <w:rPr>
          <w:rFonts w:ascii="Times New Roman" w:hAnsi="Times New Roman"/>
          <w:sz w:val="20"/>
        </w:rPr>
        <w:t xml:space="preserve"> This ASU clarifies guidance on the requirements for determining whether certain settlements of convertible debt instruments should be accounted for as an induced conversion or extinguishment. This guidance is effective for Blaize beginning on January 1, 2026, and early adoption is permitted, although the Company does not plan to early adopt. The Company is currently evaluating the impact that the adoption of this ASU will have on the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2024-03, </w:t>
      </w:r>
      <w:r>
        <w:rPr>
          <w:rFonts w:ascii="Times New Roman" w:hAnsi="Times New Roman"/>
          <w:i/>
          <w:sz w:val="20"/>
        </w:rPr>
        <w:t>Income StatementReporting Comprehensive IncomeExpense Disaggregation Disclosures: Disaggregation of Income Statement Expenses</w:t>
      </w:r>
      <w:r>
        <w:rPr>
          <w:rFonts w:ascii="Times New Roman" w:hAnsi="Times New Roman"/>
          <w:sz w:val="20"/>
        </w:rPr>
        <w:t xml:space="preserve">. This ASU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Blaize beginning on January 1, 2027, and early adoption is permitted, although the Company does not plan to early adopt. The Company is currently evaluating the impact of the adoption of this standard.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believe that any other recently issued, not yet effective, accounting standards would have a material effect on the accompanying condensed consolidated financial statements, if adopted. </w:t>
      </w:r>
    </w:p>
    <w:p>
      <w:pPr>
        <w:pStyle w:val="TextBody"/>
        <w:bidi w:val="0"/>
        <w:spacing w:before="360" w:after="0"/>
        <w:jc w:val="left"/>
        <w:rPr>
          <w:rFonts w:ascii="Times New Roman" w:hAnsi="Times New Roman"/>
          <w:b/>
          <w:sz w:val="20"/>
        </w:rPr>
      </w:pPr>
      <w:r>
        <w:rPr>
          <w:rFonts w:ascii="Times New Roman" w:hAnsi="Times New Roman"/>
          <w:b/>
          <w:sz w:val="20"/>
        </w:rPr>
        <w:t xml:space="preserve">Note 3. Merger and Reverse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Upon the consummation of the Merger, each share of Legacy Blaize common stock issued and outstanding was canceled and converted into the right to receive approximately 0.78 shares (the Exchange Ratio) of common stock of BurTech.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Legacy Blaize Redeemable Convertible Preferred Stock, Convertible Promissory Notes and Warrants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Arrangements entered into at time of Merger or assumed upon the consummation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Public and Private Placement Warrants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Merger, BurTechs 28,750,000 public warrants and 898,250 private warrants, both outstanding immediately prior to the consummation of the Merger, became warrants of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PIPE Shares </w:t>
      </w:r>
    </w:p>
    <w:p>
      <w:pPr>
        <w:pStyle w:val="TextBody"/>
        <w:bidi w:val="0"/>
        <w:spacing w:before="120" w:after="0"/>
        <w:jc w:val="left"/>
        <w:rPr>
          <w:rFonts w:ascii="Times New Roman" w:hAnsi="Times New Roman"/>
          <w:sz w:val="20"/>
        </w:rPr>
      </w:pPr>
      <w:r>
        <w:rPr>
          <w:rFonts w:ascii="Times New Roman" w:hAnsi="Times New Roman"/>
          <w:sz w:val="20"/>
        </w:rPr>
        <w:t xml:space="preserve">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Shareholder Note Receivable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Merger, BurTech LP issued a secured promissory note and pledge agreement (the Shareholder Note) to BurTech in the principal amount of $8,753,744 in exchange for 750,000 shares of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 </w:t>
      </w:r>
    </w:p>
    <w:p>
      <w:pPr>
        <w:pStyle w:val="TextBody"/>
        <w:bidi w:val="0"/>
        <w:spacing w:before="360" w:after="0"/>
        <w:jc w:val="left"/>
        <w:rPr>
          <w:rFonts w:ascii="Times New Roman" w:hAnsi="Times New Roman"/>
          <w:i/>
          <w:sz w:val="20"/>
        </w:rPr>
      </w:pPr>
      <w:r>
        <w:rPr>
          <w:rFonts w:ascii="Times New Roman" w:hAnsi="Times New Roman"/>
          <w:i/>
          <w:sz w:val="20"/>
        </w:rPr>
        <w:t xml:space="preserve">Non-Redemption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On December 31, 2024 and through January 13, 2025, BurTech, BurTech LP and Legacy Blaize entered into Non-Redemption Agreements with several unaffiliated stockholders of BurTech (each, an Investor) who agreed not to redeem (or validly rescind any redemption requests on) their shares of common stock (Non-Redeemed Shares). These Non-Redeemed Shares were exchanged for shares of the Companys common stock and are held in a separate escrow account. In exchange for the foregoing commitments not to redeem the Non-Redeemed Shares, the Company and BurTech LP agreed to guarantee that each Investor receives a return of $1.50 per Non-Redeemed Share above the initial $11.57 per share (for a total redemption value of $13.07 per Non-Redeemed Share) held in the related cash escrow account if the Investor sells the Non-Redeemed Shares in the open market. The funds in the related cash escrow account are sufficient to fulfill the Companys redemption obligation under the Non-Redemption Agreement. Starting 90 days after the Closing Date through 180 days after the Closing Date, each Investor has the right to exercise a put option to receive $13.07 per Non-Redeemed Share. The Sponsor, and not the Company, is contractually obligated for the $1.50 per share above the $11.57 held in cash escrow as it relates to the put option. Accordingly, the Company did not recognize a non-redemption liability as of the Closing Date or March 31, 2025.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reconciles the elements of the Merger to the condensed consolidated statement of cash flows and the condensed consolidated statement of stockholders equity (deficit) for the three months ended March 31,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63"/>
        <w:gridCol w:w="507"/>
        <w:gridCol w:w="231"/>
        <w:gridCol w:w="1481"/>
        <w:gridCol w:w="157"/>
      </w:tblGrid>
      <w:tr>
        <w:trPr/>
        <w:tc>
          <w:tcPr>
            <w:tcW w:w="4563"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63" w:type="dxa"/>
            <w:tcBorders/>
            <w:vAlign w:val="bottom"/>
          </w:tcPr>
          <w:p>
            <w:pPr>
              <w:pStyle w:val="TableContents"/>
              <w:bidi w:val="0"/>
              <w:spacing w:before="0" w:after="283"/>
              <w:jc w:val="left"/>
              <w:rPr>
                <w:i/>
              </w:rPr>
            </w:pPr>
            <w:r>
              <w:rPr>
                <w:i/>
              </w:rPr>
              <w:t xml:space="preserve">(Amounts in thousands) </w:t>
            </w:r>
          </w:p>
        </w:tc>
        <w:tc>
          <w:tcPr>
            <w:tcW w:w="507" w:type="dxa"/>
            <w:tcBorders/>
            <w:vAlign w:val="bottom"/>
          </w:tcPr>
          <w:p>
            <w:pPr>
              <w:pStyle w:val="TableContents"/>
              <w:bidi w:val="0"/>
              <w:spacing w:before="0" w:after="283"/>
              <w:jc w:val="left"/>
              <w:rPr/>
            </w:pPr>
            <w:r>
              <w:rPr/>
              <w:t>  </w:t>
            </w:r>
          </w:p>
        </w:tc>
        <w:tc>
          <w:tcPr>
            <w:tcW w:w="1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Recapitalization</w:t>
            </w:r>
          </w:p>
        </w:tc>
        <w:tc>
          <w:tcPr>
            <w:tcW w:w="157" w:type="dxa"/>
            <w:tcBorders/>
            <w:vAlign w:val="bottom"/>
          </w:tcPr>
          <w:p>
            <w:pPr>
              <w:pStyle w:val="TableContents"/>
              <w:bidi w:val="0"/>
              <w:spacing w:before="0" w:after="283"/>
              <w:jc w:val="left"/>
              <w:rPr/>
            </w:pPr>
            <w:r>
              <w:rPr/>
              <w:t> </w:t>
            </w:r>
          </w:p>
        </w:tc>
      </w:tr>
      <w:tr>
        <w:trPr/>
        <w:tc>
          <w:tcPr>
            <w:tcW w:w="4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 BurTech trust and cash, net of redemptions</w:t>
            </w:r>
          </w:p>
        </w:tc>
        <w:tc>
          <w:tcPr>
            <w:tcW w:w="50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481" w:type="dxa"/>
            <w:tcBorders/>
            <w:shd w:fill="CCEEFF" w:val="clear"/>
            <w:vAlign w:val="bottom"/>
          </w:tcPr>
          <w:p>
            <w:pPr>
              <w:pStyle w:val="TableContents"/>
              <w:bidi w:val="0"/>
              <w:spacing w:before="0" w:after="283"/>
              <w:jc w:val="right"/>
              <w:rPr/>
            </w:pPr>
            <w:r>
              <w:rPr/>
              <w:t>37,259</w:t>
            </w:r>
          </w:p>
        </w:tc>
        <w:tc>
          <w:tcPr>
            <w:tcW w:w="157" w:type="dxa"/>
            <w:tcBorders/>
            <w:shd w:fill="CCEEFF" w:val="clear"/>
            <w:vAlign w:val="bottom"/>
          </w:tcPr>
          <w:p>
            <w:pPr>
              <w:pStyle w:val="TableContents"/>
              <w:bidi w:val="0"/>
              <w:spacing w:before="0" w:after="283"/>
              <w:jc w:val="left"/>
              <w:rPr/>
            </w:pPr>
            <w:r>
              <w:rPr/>
              <w:t> </w:t>
            </w:r>
          </w:p>
        </w:tc>
      </w:tr>
      <w:tr>
        <w:trPr/>
        <w:tc>
          <w:tcPr>
            <w:tcW w:w="4563" w:type="dxa"/>
            <w:tcBorders/>
          </w:tcPr>
          <w:p>
            <w:pPr>
              <w:pStyle w:val="TableContents"/>
              <w:bidi w:val="0"/>
              <w:spacing w:before="0" w:after="0"/>
              <w:jc w:val="left"/>
              <w:rPr>
                <w:rFonts w:ascii="Times New Roman" w:hAnsi="Times New Roman"/>
                <w:sz w:val="20"/>
              </w:rPr>
            </w:pPr>
            <w:r>
              <w:rPr>
                <w:rFonts w:ascii="Times New Roman" w:hAnsi="Times New Roman"/>
                <w:sz w:val="20"/>
              </w:rPr>
              <w:t>Less: Non-redemption escrow</w:t>
            </w:r>
          </w:p>
        </w:tc>
        <w:tc>
          <w:tcPr>
            <w:tcW w:w="50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283"/>
              <w:jc w:val="right"/>
              <w:rPr/>
            </w:pPr>
            <w:r>
              <w:rPr/>
              <w:t>(33,061</w:t>
            </w:r>
          </w:p>
        </w:tc>
        <w:tc>
          <w:tcPr>
            <w:tcW w:w="157" w:type="dxa"/>
            <w:tcBorders/>
            <w:vAlign w:val="bottom"/>
          </w:tcPr>
          <w:p>
            <w:pPr>
              <w:pStyle w:val="TableContents"/>
              <w:bidi w:val="0"/>
              <w:spacing w:before="0" w:after="283"/>
              <w:jc w:val="left"/>
              <w:rPr/>
            </w:pPr>
            <w:r>
              <w:rPr/>
              <w:t>) </w:t>
            </w:r>
          </w:p>
        </w:tc>
      </w:tr>
      <w:tr>
        <w:trPr/>
        <w:tc>
          <w:tcPr>
            <w:tcW w:w="4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 PIPE</w:t>
            </w:r>
          </w:p>
        </w:tc>
        <w:tc>
          <w:tcPr>
            <w:tcW w:w="50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right"/>
              <w:rPr/>
            </w:pPr>
            <w:r>
              <w:rPr/>
              <w:t>15,295</w:t>
            </w:r>
          </w:p>
        </w:tc>
        <w:tc>
          <w:tcPr>
            <w:tcW w:w="157" w:type="dxa"/>
            <w:tcBorders/>
            <w:shd w:fill="CCEEFF" w:val="clear"/>
            <w:vAlign w:val="bottom"/>
          </w:tcPr>
          <w:p>
            <w:pPr>
              <w:pStyle w:val="TableContents"/>
              <w:bidi w:val="0"/>
              <w:spacing w:before="0" w:after="283"/>
              <w:jc w:val="left"/>
              <w:rPr/>
            </w:pPr>
            <w:r>
              <w:rPr/>
              <w:t> </w:t>
            </w:r>
          </w:p>
        </w:tc>
      </w:tr>
      <w:tr>
        <w:trPr/>
        <w:tc>
          <w:tcPr>
            <w:tcW w:w="4563" w:type="dxa"/>
            <w:tcBorders/>
          </w:tcPr>
          <w:p>
            <w:pPr>
              <w:pStyle w:val="TableContents"/>
              <w:bidi w:val="0"/>
              <w:spacing w:before="0" w:after="0"/>
              <w:jc w:val="left"/>
              <w:rPr>
                <w:rFonts w:ascii="Times New Roman" w:hAnsi="Times New Roman"/>
                <w:sz w:val="20"/>
              </w:rPr>
            </w:pPr>
            <w:r>
              <w:rPr>
                <w:rFonts w:ascii="Times New Roman" w:hAnsi="Times New Roman"/>
                <w:sz w:val="20"/>
              </w:rPr>
              <w:t>Less: transaction costs and advisory paid by BurTech</w:t>
            </w:r>
          </w:p>
        </w:tc>
        <w:tc>
          <w:tcPr>
            <w:tcW w:w="50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283"/>
              <w:jc w:val="right"/>
              <w:rPr/>
            </w:pPr>
            <w:r>
              <w:rPr/>
              <w:t>(3,619</w:t>
            </w:r>
          </w:p>
        </w:tc>
        <w:tc>
          <w:tcPr>
            <w:tcW w:w="157" w:type="dxa"/>
            <w:tcBorders/>
            <w:vAlign w:val="bottom"/>
          </w:tcPr>
          <w:p>
            <w:pPr>
              <w:pStyle w:val="TableContents"/>
              <w:bidi w:val="0"/>
              <w:spacing w:before="0" w:after="283"/>
              <w:jc w:val="left"/>
              <w:rPr/>
            </w:pPr>
            <w:r>
              <w:rPr/>
              <w:t>) </w:t>
            </w:r>
          </w:p>
        </w:tc>
      </w:tr>
      <w:tr>
        <w:trPr/>
        <w:tc>
          <w:tcPr>
            <w:tcW w:w="4563"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48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proceeds from Merger</w:t>
            </w:r>
          </w:p>
        </w:tc>
        <w:tc>
          <w:tcPr>
            <w:tcW w:w="50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right"/>
              <w:rPr/>
            </w:pPr>
            <w:r>
              <w:rPr/>
              <w:t>15,874</w:t>
            </w:r>
          </w:p>
        </w:tc>
        <w:tc>
          <w:tcPr>
            <w:tcW w:w="157" w:type="dxa"/>
            <w:tcBorders/>
            <w:shd w:fill="CCEEFF" w:val="clear"/>
            <w:vAlign w:val="bottom"/>
          </w:tcPr>
          <w:p>
            <w:pPr>
              <w:pStyle w:val="TableContents"/>
              <w:bidi w:val="0"/>
              <w:spacing w:before="0" w:after="283"/>
              <w:jc w:val="left"/>
              <w:rPr/>
            </w:pPr>
            <w:r>
              <w:rPr/>
              <w:t> </w:t>
            </w:r>
          </w:p>
        </w:tc>
      </w:tr>
      <w:tr>
        <w:trPr/>
        <w:tc>
          <w:tcPr>
            <w:tcW w:w="4563" w:type="dxa"/>
            <w:tcBorders/>
          </w:tcPr>
          <w:p>
            <w:pPr>
              <w:pStyle w:val="TableContents"/>
              <w:bidi w:val="0"/>
              <w:spacing w:before="0" w:after="0"/>
              <w:jc w:val="left"/>
              <w:rPr>
                <w:rFonts w:ascii="Times New Roman" w:hAnsi="Times New Roman"/>
                <w:sz w:val="20"/>
              </w:rPr>
            </w:pPr>
            <w:r>
              <w:rPr>
                <w:rFonts w:ascii="Times New Roman" w:hAnsi="Times New Roman"/>
                <w:sz w:val="20"/>
              </w:rPr>
              <w:t>Earnout share liabilities</w:t>
            </w:r>
          </w:p>
        </w:tc>
        <w:tc>
          <w:tcPr>
            <w:tcW w:w="50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283"/>
              <w:jc w:val="right"/>
              <w:rPr/>
            </w:pPr>
            <w:r>
              <w:rPr/>
              <w:t>(126,025</w:t>
            </w:r>
          </w:p>
        </w:tc>
        <w:tc>
          <w:tcPr>
            <w:tcW w:w="157" w:type="dxa"/>
            <w:tcBorders/>
            <w:vAlign w:val="bottom"/>
          </w:tcPr>
          <w:p>
            <w:pPr>
              <w:pStyle w:val="TableContents"/>
              <w:bidi w:val="0"/>
              <w:spacing w:before="0" w:after="283"/>
              <w:jc w:val="left"/>
              <w:rPr/>
            </w:pPr>
            <w:r>
              <w:rPr/>
              <w:t>) </w:t>
            </w:r>
          </w:p>
        </w:tc>
      </w:tr>
      <w:tr>
        <w:trPr/>
        <w:tc>
          <w:tcPr>
            <w:tcW w:w="4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net liabilities assumed from BurTech</w:t>
            </w:r>
          </w:p>
        </w:tc>
        <w:tc>
          <w:tcPr>
            <w:tcW w:w="50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right"/>
              <w:rPr/>
            </w:pPr>
            <w:r>
              <w:rPr/>
              <w:t>(16,013</w:t>
            </w:r>
          </w:p>
        </w:tc>
        <w:tc>
          <w:tcPr>
            <w:tcW w:w="157" w:type="dxa"/>
            <w:tcBorders/>
            <w:shd w:fill="CCEEFF" w:val="clear"/>
            <w:vAlign w:val="bottom"/>
          </w:tcPr>
          <w:p>
            <w:pPr>
              <w:pStyle w:val="TableContents"/>
              <w:bidi w:val="0"/>
              <w:spacing w:before="0" w:after="283"/>
              <w:jc w:val="left"/>
              <w:rPr/>
            </w:pPr>
            <w:r>
              <w:rPr/>
              <w:t>) </w:t>
            </w:r>
          </w:p>
        </w:tc>
      </w:tr>
      <w:tr>
        <w:trPr/>
        <w:tc>
          <w:tcPr>
            <w:tcW w:w="4563"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48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563" w:type="dxa"/>
            <w:tcBorders/>
          </w:tcPr>
          <w:p>
            <w:pPr>
              <w:pStyle w:val="TableContents"/>
              <w:bidi w:val="0"/>
              <w:spacing w:before="0" w:after="0"/>
              <w:jc w:val="left"/>
              <w:rPr>
                <w:rFonts w:ascii="Times New Roman" w:hAnsi="Times New Roman"/>
                <w:sz w:val="20"/>
              </w:rPr>
            </w:pPr>
            <w:r>
              <w:rPr>
                <w:rFonts w:ascii="Times New Roman" w:hAnsi="Times New Roman"/>
                <w:sz w:val="20"/>
              </w:rPr>
              <w:t>Total Merger and PIPE financing</w:t>
            </w:r>
          </w:p>
        </w:tc>
        <w:tc>
          <w:tcPr>
            <w:tcW w:w="50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481" w:type="dxa"/>
            <w:tcBorders/>
            <w:vAlign w:val="bottom"/>
          </w:tcPr>
          <w:p>
            <w:pPr>
              <w:pStyle w:val="TableContents"/>
              <w:bidi w:val="0"/>
              <w:spacing w:before="0" w:after="283"/>
              <w:jc w:val="right"/>
              <w:rPr/>
            </w:pPr>
            <w:r>
              <w:rPr/>
              <w:t>(126,164</w:t>
            </w:r>
          </w:p>
        </w:tc>
        <w:tc>
          <w:tcPr>
            <w:tcW w:w="157" w:type="dxa"/>
            <w:tcBorders/>
            <w:vAlign w:val="bottom"/>
          </w:tcPr>
          <w:p>
            <w:pPr>
              <w:pStyle w:val="TableContents"/>
              <w:bidi w:val="0"/>
              <w:spacing w:before="0" w:after="283"/>
              <w:jc w:val="left"/>
              <w:rPr/>
            </w:pPr>
            <w:r>
              <w:rPr/>
              <w:t>) </w:t>
            </w:r>
          </w:p>
        </w:tc>
      </w:tr>
      <w:tr>
        <w:trPr/>
        <w:tc>
          <w:tcPr>
            <w:tcW w:w="4563"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48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number of shares of common stock outstanding immediately following the consummation of the Merger: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22"/>
        <w:gridCol w:w="234"/>
        <w:gridCol w:w="60"/>
        <w:gridCol w:w="1263"/>
        <w:gridCol w:w="160"/>
      </w:tblGrid>
      <w:tr>
        <w:trPr/>
        <w:tc>
          <w:tcPr>
            <w:tcW w:w="5222"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BurTech Class A common stock, outstanding prior to the Merger</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10,816,995</w:t>
            </w:r>
          </w:p>
        </w:tc>
        <w:tc>
          <w:tcPr>
            <w:tcW w:w="160" w:type="dxa"/>
            <w:tcBorders/>
            <w:shd w:fill="CCEEFF" w:val="clear"/>
            <w:vAlign w:val="bottom"/>
          </w:tcPr>
          <w:p>
            <w:pPr>
              <w:pStyle w:val="TableContents"/>
              <w:bidi w:val="0"/>
              <w:spacing w:before="0" w:after="283"/>
              <w:jc w:val="left"/>
              <w:rPr/>
            </w:pPr>
            <w:r>
              <w:rPr/>
              <w:t> </w:t>
            </w:r>
          </w:p>
        </w:tc>
      </w:tr>
      <w:tr>
        <w:trPr/>
        <w:tc>
          <w:tcPr>
            <w:tcW w:w="5222" w:type="dxa"/>
            <w:tcBorders/>
          </w:tcPr>
          <w:p>
            <w:pPr>
              <w:pStyle w:val="TableContents"/>
              <w:bidi w:val="0"/>
              <w:spacing w:before="0" w:after="0"/>
              <w:jc w:val="left"/>
              <w:rPr>
                <w:rFonts w:ascii="Times New Roman" w:hAnsi="Times New Roman"/>
                <w:sz w:val="20"/>
              </w:rPr>
            </w:pPr>
            <w:r>
              <w:rPr>
                <w:rFonts w:ascii="Times New Roman" w:hAnsi="Times New Roman"/>
                <w:sz w:val="20"/>
              </w:rPr>
              <w:t>Sponsor forfeiture</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(2,000,000</w:t>
            </w:r>
          </w:p>
        </w:tc>
        <w:tc>
          <w:tcPr>
            <w:tcW w:w="160" w:type="dxa"/>
            <w:tcBorders/>
            <w:vAlign w:val="bottom"/>
          </w:tcPr>
          <w:p>
            <w:pPr>
              <w:pStyle w:val="TableContents"/>
              <w:bidi w:val="0"/>
              <w:spacing w:before="0" w:after="283"/>
              <w:jc w:val="left"/>
              <w:rPr/>
            </w:pPr>
            <w:r>
              <w:rPr/>
              <w:t>) </w:t>
            </w:r>
          </w:p>
        </w:tc>
      </w:tr>
      <w:tr>
        <w:trPr/>
        <w:tc>
          <w:tcPr>
            <w:tcW w:w="5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BurTech Class A common stock subject to redemption, outstanding prior to the Merger</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4,104,543</w:t>
            </w:r>
          </w:p>
        </w:tc>
        <w:tc>
          <w:tcPr>
            <w:tcW w:w="160" w:type="dxa"/>
            <w:tcBorders/>
            <w:shd w:fill="CCEEFF" w:val="clear"/>
            <w:vAlign w:val="bottom"/>
          </w:tcPr>
          <w:p>
            <w:pPr>
              <w:pStyle w:val="TableContents"/>
              <w:bidi w:val="0"/>
              <w:spacing w:before="0" w:after="283"/>
              <w:jc w:val="left"/>
              <w:rPr/>
            </w:pPr>
            <w:r>
              <w:rPr/>
              <w:t> </w:t>
            </w:r>
          </w:p>
        </w:tc>
      </w:tr>
      <w:tr>
        <w:trPr/>
        <w:tc>
          <w:tcPr>
            <w:tcW w:w="5222" w:type="dxa"/>
            <w:tcBorders/>
          </w:tcPr>
          <w:p>
            <w:pPr>
              <w:pStyle w:val="TableContents"/>
              <w:bidi w:val="0"/>
              <w:spacing w:before="0" w:after="0"/>
              <w:jc w:val="left"/>
              <w:rPr>
                <w:rFonts w:ascii="Times New Roman" w:hAnsi="Times New Roman"/>
                <w:sz w:val="20"/>
              </w:rPr>
            </w:pPr>
            <w:r>
              <w:rPr>
                <w:rFonts w:ascii="Times New Roman" w:hAnsi="Times New Roman"/>
                <w:sz w:val="20"/>
              </w:rPr>
              <w:t>Shareholder Note receivable</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750,000</w:t>
            </w:r>
          </w:p>
        </w:tc>
        <w:tc>
          <w:tcPr>
            <w:tcW w:w="160" w:type="dxa"/>
            <w:tcBorders/>
            <w:vAlign w:val="bottom"/>
          </w:tcPr>
          <w:p>
            <w:pPr>
              <w:pStyle w:val="TableContents"/>
              <w:bidi w:val="0"/>
              <w:spacing w:before="0" w:after="283"/>
              <w:jc w:val="left"/>
              <w:rPr/>
            </w:pPr>
            <w:r>
              <w:rPr/>
              <w:t> </w:t>
            </w:r>
          </w:p>
        </w:tc>
      </w:tr>
      <w:tr>
        <w:trPr/>
        <w:tc>
          <w:tcPr>
            <w:tcW w:w="5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Redemption of BurTech Class A common stock</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(937,844</w:t>
            </w:r>
          </w:p>
        </w:tc>
        <w:tc>
          <w:tcPr>
            <w:tcW w:w="160" w:type="dxa"/>
            <w:tcBorders/>
            <w:shd w:fill="CCEEFF" w:val="clear"/>
            <w:vAlign w:val="bottom"/>
          </w:tcPr>
          <w:p>
            <w:pPr>
              <w:pStyle w:val="TableContents"/>
              <w:bidi w:val="0"/>
              <w:spacing w:before="0" w:after="283"/>
              <w:jc w:val="left"/>
              <w:rPr/>
            </w:pPr>
            <w:r>
              <w:rPr/>
              <w:t>) </w:t>
            </w:r>
          </w:p>
        </w:tc>
      </w:tr>
      <w:tr>
        <w:trPr/>
        <w:tc>
          <w:tcPr>
            <w:tcW w:w="5222" w:type="dxa"/>
            <w:tcBorders/>
          </w:tcPr>
          <w:p>
            <w:pPr>
              <w:pStyle w:val="TableContents"/>
              <w:bidi w:val="0"/>
              <w:spacing w:before="0" w:after="0"/>
              <w:jc w:val="left"/>
              <w:rPr>
                <w:rFonts w:ascii="Times New Roman" w:hAnsi="Times New Roman"/>
                <w:sz w:val="20"/>
              </w:rPr>
            </w:pPr>
            <w:r>
              <w:rPr>
                <w:rFonts w:ascii="Times New Roman" w:hAnsi="Times New Roman"/>
                <w:sz w:val="20"/>
              </w:rPr>
              <w:t>BurTech Class A Shares in non-redemption escrow</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(2,854,242</w:t>
            </w:r>
          </w:p>
        </w:tc>
        <w:tc>
          <w:tcPr>
            <w:tcW w:w="160" w:type="dxa"/>
            <w:tcBorders/>
            <w:vAlign w:val="bottom"/>
          </w:tcPr>
          <w:p>
            <w:pPr>
              <w:pStyle w:val="TableContents"/>
              <w:bidi w:val="0"/>
              <w:spacing w:before="0" w:after="283"/>
              <w:jc w:val="left"/>
              <w:rPr/>
            </w:pPr>
            <w:r>
              <w:rPr/>
              <w:t>) </w:t>
            </w:r>
          </w:p>
        </w:tc>
      </w:tr>
      <w:tr>
        <w:trPr/>
        <w:tc>
          <w:tcPr>
            <w:tcW w:w="5222"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common stock of BurTech</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9,879,452</w:t>
            </w:r>
          </w:p>
        </w:tc>
        <w:tc>
          <w:tcPr>
            <w:tcW w:w="160" w:type="dxa"/>
            <w:tcBorders/>
            <w:shd w:fill="CCEEFF" w:val="clear"/>
            <w:vAlign w:val="bottom"/>
          </w:tcPr>
          <w:p>
            <w:pPr>
              <w:pStyle w:val="TableContents"/>
              <w:bidi w:val="0"/>
              <w:spacing w:before="0" w:after="283"/>
              <w:jc w:val="left"/>
              <w:rPr/>
            </w:pPr>
            <w:r>
              <w:rPr/>
              <w:t> </w:t>
            </w:r>
          </w:p>
        </w:tc>
      </w:tr>
      <w:tr>
        <w:trPr/>
        <w:tc>
          <w:tcPr>
            <w:tcW w:w="5222" w:type="dxa"/>
            <w:tcBorders/>
          </w:tcPr>
          <w:p>
            <w:pPr>
              <w:pStyle w:val="TableContents"/>
              <w:bidi w:val="0"/>
              <w:spacing w:before="0" w:after="0"/>
              <w:jc w:val="left"/>
              <w:rPr>
                <w:rFonts w:ascii="Times New Roman" w:hAnsi="Times New Roman"/>
                <w:sz w:val="20"/>
              </w:rPr>
            </w:pPr>
            <w:r>
              <w:rPr>
                <w:rFonts w:ascii="Times New Roman" w:hAnsi="Times New Roman"/>
                <w:sz w:val="20"/>
              </w:rPr>
              <w:t>PIPE shares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1,529,500</w:t>
            </w:r>
          </w:p>
        </w:tc>
        <w:tc>
          <w:tcPr>
            <w:tcW w:w="160" w:type="dxa"/>
            <w:tcBorders/>
            <w:vAlign w:val="bottom"/>
          </w:tcPr>
          <w:p>
            <w:pPr>
              <w:pStyle w:val="TableContents"/>
              <w:bidi w:val="0"/>
              <w:spacing w:before="0" w:after="283"/>
              <w:jc w:val="left"/>
              <w:rPr/>
            </w:pPr>
            <w:r>
              <w:rPr/>
              <w:t> </w:t>
            </w:r>
          </w:p>
        </w:tc>
      </w:tr>
      <w:tr>
        <w:trPr/>
        <w:tc>
          <w:tcPr>
            <w:tcW w:w="5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BurTech Class B common stock, outstanding prior to the Merger</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w:t>
            </w:r>
          </w:p>
        </w:tc>
        <w:tc>
          <w:tcPr>
            <w:tcW w:w="160" w:type="dxa"/>
            <w:tcBorders/>
            <w:shd w:fill="CCEEFF" w:val="clear"/>
            <w:vAlign w:val="bottom"/>
          </w:tcPr>
          <w:p>
            <w:pPr>
              <w:pStyle w:val="TableContents"/>
              <w:bidi w:val="0"/>
              <w:spacing w:before="0" w:after="283"/>
              <w:jc w:val="left"/>
              <w:rPr/>
            </w:pPr>
            <w:r>
              <w:rPr/>
              <w:t> </w:t>
            </w:r>
          </w:p>
        </w:tc>
      </w:tr>
      <w:tr>
        <w:trPr/>
        <w:tc>
          <w:tcPr>
            <w:tcW w:w="5222"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22" w:type="dxa"/>
            <w:tcBorders/>
          </w:tcPr>
          <w:p>
            <w:pPr>
              <w:pStyle w:val="TableContents"/>
              <w:bidi w:val="0"/>
              <w:spacing w:before="0" w:after="0"/>
              <w:jc w:val="left"/>
              <w:rPr>
                <w:rFonts w:ascii="Times New Roman" w:hAnsi="Times New Roman"/>
                <w:sz w:val="20"/>
              </w:rPr>
            </w:pPr>
            <w:r>
              <w:rPr>
                <w:rFonts w:ascii="Times New Roman" w:hAnsi="Times New Roman"/>
                <w:sz w:val="20"/>
              </w:rPr>
              <w:t>Merger and PIPE financing shares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11,408,957</w:t>
            </w:r>
          </w:p>
        </w:tc>
        <w:tc>
          <w:tcPr>
            <w:tcW w:w="160" w:type="dxa"/>
            <w:tcBorders/>
            <w:vAlign w:val="bottom"/>
          </w:tcPr>
          <w:p>
            <w:pPr>
              <w:pStyle w:val="TableContents"/>
              <w:bidi w:val="0"/>
              <w:spacing w:before="0" w:after="283"/>
              <w:jc w:val="left"/>
              <w:rPr/>
            </w:pPr>
            <w:r>
              <w:rPr/>
              <w:t> </w:t>
            </w:r>
          </w:p>
        </w:tc>
      </w:tr>
      <w:tr>
        <w:trPr/>
        <w:tc>
          <w:tcPr>
            <w:tcW w:w="5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Legacy Blaize shares</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87,314,968</w:t>
            </w:r>
          </w:p>
        </w:tc>
        <w:tc>
          <w:tcPr>
            <w:tcW w:w="160" w:type="dxa"/>
            <w:tcBorders/>
            <w:shd w:fill="CCEEFF" w:val="clear"/>
            <w:vAlign w:val="bottom"/>
          </w:tcPr>
          <w:p>
            <w:pPr>
              <w:pStyle w:val="TableContents"/>
              <w:bidi w:val="0"/>
              <w:spacing w:before="0" w:after="283"/>
              <w:jc w:val="left"/>
              <w:rPr/>
            </w:pPr>
            <w:r>
              <w:rPr/>
              <w:t> </w:t>
            </w:r>
          </w:p>
        </w:tc>
      </w:tr>
      <w:tr>
        <w:trPr/>
        <w:tc>
          <w:tcPr>
            <w:tcW w:w="5222"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to advisors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94,949</w:t>
            </w:r>
          </w:p>
        </w:tc>
        <w:tc>
          <w:tcPr>
            <w:tcW w:w="160" w:type="dxa"/>
            <w:tcBorders/>
            <w:vAlign w:val="bottom"/>
          </w:tcPr>
          <w:p>
            <w:pPr>
              <w:pStyle w:val="TableContents"/>
              <w:bidi w:val="0"/>
              <w:spacing w:before="0" w:after="283"/>
              <w:jc w:val="left"/>
              <w:rPr/>
            </w:pPr>
            <w:r>
              <w:rPr/>
              <w:t> </w:t>
            </w:r>
          </w:p>
        </w:tc>
      </w:tr>
      <w:tr>
        <w:trPr/>
        <w:tc>
          <w:tcPr>
            <w:tcW w:w="5222"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immediately after the Merger</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98,818,874</w:t>
            </w:r>
          </w:p>
        </w:tc>
        <w:tc>
          <w:tcPr>
            <w:tcW w:w="160" w:type="dxa"/>
            <w:tcBorders/>
            <w:shd w:fill="CCEEFF" w:val="clear"/>
            <w:vAlign w:val="bottom"/>
          </w:tcPr>
          <w:p>
            <w:pPr>
              <w:pStyle w:val="TableContents"/>
              <w:bidi w:val="0"/>
              <w:spacing w:before="0" w:after="283"/>
              <w:jc w:val="left"/>
              <w:rPr/>
            </w:pPr>
            <w:r>
              <w:rPr/>
              <w:t> </w:t>
            </w:r>
          </w:p>
        </w:tc>
      </w:tr>
      <w:tr>
        <w:trPr/>
        <w:tc>
          <w:tcPr>
            <w:tcW w:w="5222"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6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Legacy Blaize shares was determined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398"/>
        <w:gridCol w:w="133"/>
        <w:gridCol w:w="102"/>
        <w:gridCol w:w="2082"/>
        <w:gridCol w:w="60"/>
        <w:gridCol w:w="133"/>
        <w:gridCol w:w="143"/>
        <w:gridCol w:w="2639"/>
        <w:gridCol w:w="65"/>
      </w:tblGrid>
      <w:tr>
        <w:trPr/>
        <w:tc>
          <w:tcPr>
            <w:tcW w:w="239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39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Legacy Blaize Shares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Legacy Blaize Shares After</w:t>
              <w:br/>
              <w:t>Conversion</w:t>
            </w:r>
          </w:p>
        </w:tc>
        <w:tc>
          <w:tcPr>
            <w:tcW w:w="65" w:type="dxa"/>
            <w:tcBorders/>
            <w:vAlign w:val="bottom"/>
          </w:tcPr>
          <w:p>
            <w:pPr>
              <w:pStyle w:val="TableContents"/>
              <w:bidi w:val="0"/>
              <w:spacing w:before="0" w:after="283"/>
              <w:jc w:val="left"/>
              <w:rPr/>
            </w:pPr>
            <w:r>
              <w:rPr/>
              <w:t> </w:t>
            </w:r>
          </w:p>
        </w:tc>
      </w:tr>
      <w:tr>
        <w:trPr/>
        <w:tc>
          <w:tcPr>
            <w:tcW w:w="2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3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bidi w:val="0"/>
              <w:spacing w:before="0" w:after="283"/>
              <w:jc w:val="right"/>
              <w:rPr/>
            </w:pPr>
            <w:r>
              <w:rPr/>
              <w:t>17,518,791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right"/>
              <w:rPr/>
            </w:pPr>
            <w:r>
              <w:rPr/>
              <w:t>13,663,527</w:t>
            </w:r>
          </w:p>
        </w:tc>
        <w:tc>
          <w:tcPr>
            <w:tcW w:w="65" w:type="dxa"/>
            <w:tcBorders/>
            <w:shd w:fill="CCEEFF" w:val="clear"/>
            <w:vAlign w:val="bottom"/>
          </w:tcPr>
          <w:p>
            <w:pPr>
              <w:pStyle w:val="TableContents"/>
              <w:bidi w:val="0"/>
              <w:spacing w:before="0" w:after="283"/>
              <w:jc w:val="left"/>
              <w:rPr/>
            </w:pPr>
            <w:r>
              <w:rPr/>
              <w:t> </w:t>
            </w:r>
          </w:p>
        </w:tc>
      </w:tr>
      <w:tr>
        <w:trPr/>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stock</w:t>
            </w:r>
          </w:p>
        </w:tc>
        <w:tc>
          <w:tcPr>
            <w:tcW w:w="13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82" w:type="dxa"/>
            <w:tcBorders/>
            <w:vAlign w:val="bottom"/>
          </w:tcPr>
          <w:p>
            <w:pPr>
              <w:pStyle w:val="TableContents"/>
              <w:bidi w:val="0"/>
              <w:spacing w:before="0" w:after="283"/>
              <w:jc w:val="right"/>
              <w:rPr/>
            </w:pPr>
            <w:r>
              <w:rPr/>
              <w:t>44,506,781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right"/>
              <w:rPr/>
            </w:pPr>
            <w:r>
              <w:rPr/>
              <w:t>34,712,525</w:t>
            </w:r>
          </w:p>
        </w:tc>
        <w:tc>
          <w:tcPr>
            <w:tcW w:w="65" w:type="dxa"/>
            <w:tcBorders/>
            <w:vAlign w:val="bottom"/>
          </w:tcPr>
          <w:p>
            <w:pPr>
              <w:pStyle w:val="TableContents"/>
              <w:bidi w:val="0"/>
              <w:spacing w:before="0" w:after="283"/>
              <w:jc w:val="left"/>
              <w:rPr/>
            </w:pPr>
            <w:r>
              <w:rPr/>
              <w:t> </w:t>
            </w:r>
          </w:p>
        </w:tc>
      </w:tr>
      <w:tr>
        <w:trPr/>
        <w:tc>
          <w:tcPr>
            <w:tcW w:w="2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convertible notes</w:t>
            </w:r>
          </w:p>
        </w:tc>
        <w:tc>
          <w:tcPr>
            <w:tcW w:w="13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bidi w:val="0"/>
              <w:spacing w:before="0" w:after="283"/>
              <w:jc w:val="right"/>
              <w:rPr/>
            </w:pPr>
            <w:r>
              <w:rPr/>
              <w:t>40,302,382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right"/>
              <w:rPr/>
            </w:pPr>
            <w:r>
              <w:rPr/>
              <w:t>31,433,259</w:t>
            </w:r>
          </w:p>
        </w:tc>
        <w:tc>
          <w:tcPr>
            <w:tcW w:w="65" w:type="dxa"/>
            <w:tcBorders/>
            <w:shd w:fill="CCEEFF" w:val="clear"/>
            <w:vAlign w:val="bottom"/>
          </w:tcPr>
          <w:p>
            <w:pPr>
              <w:pStyle w:val="TableContents"/>
              <w:bidi w:val="0"/>
              <w:spacing w:before="0" w:after="283"/>
              <w:jc w:val="left"/>
              <w:rPr/>
            </w:pPr>
            <w:r>
              <w:rPr/>
              <w:t> </w:t>
            </w:r>
          </w:p>
        </w:tc>
      </w:tr>
      <w:tr>
        <w:trPr/>
        <w:tc>
          <w:tcPr>
            <w:tcW w:w="2398" w:type="dxa"/>
            <w:tcBorders/>
          </w:tcPr>
          <w:p>
            <w:pPr>
              <w:pStyle w:val="TableContents"/>
              <w:bidi w:val="0"/>
              <w:spacing w:before="0" w:after="0"/>
              <w:jc w:val="left"/>
              <w:rPr>
                <w:rFonts w:ascii="Times New Roman" w:hAnsi="Times New Roman"/>
                <w:sz w:val="20"/>
              </w:rPr>
            </w:pPr>
            <w:r>
              <w:rPr>
                <w:rFonts w:ascii="Times New Roman" w:hAnsi="Times New Roman"/>
                <w:sz w:val="20"/>
              </w:rPr>
              <w:t>Net exercise of warrants</w:t>
            </w:r>
          </w:p>
        </w:tc>
        <w:tc>
          <w:tcPr>
            <w:tcW w:w="13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82" w:type="dxa"/>
            <w:tcBorders/>
            <w:vAlign w:val="bottom"/>
          </w:tcPr>
          <w:p>
            <w:pPr>
              <w:pStyle w:val="TableContents"/>
              <w:bidi w:val="0"/>
              <w:spacing w:before="0" w:after="283"/>
              <w:jc w:val="right"/>
              <w:rPr/>
            </w:pPr>
            <w:r>
              <w:rPr/>
              <w:t>9,623,432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639" w:type="dxa"/>
            <w:tcBorders/>
            <w:vAlign w:val="bottom"/>
          </w:tcPr>
          <w:p>
            <w:pPr>
              <w:pStyle w:val="TableContents"/>
              <w:bidi w:val="0"/>
              <w:spacing w:before="0" w:after="283"/>
              <w:jc w:val="right"/>
              <w:rPr/>
            </w:pPr>
            <w:r>
              <w:rPr/>
              <w:t>7,505,657</w:t>
            </w:r>
          </w:p>
        </w:tc>
        <w:tc>
          <w:tcPr>
            <w:tcW w:w="65" w:type="dxa"/>
            <w:tcBorders/>
            <w:vAlign w:val="bottom"/>
          </w:tcPr>
          <w:p>
            <w:pPr>
              <w:pStyle w:val="TableContents"/>
              <w:bidi w:val="0"/>
              <w:spacing w:before="0" w:after="283"/>
              <w:jc w:val="left"/>
              <w:rPr/>
            </w:pPr>
            <w:r>
              <w:rPr/>
              <w:t> </w:t>
            </w:r>
          </w:p>
        </w:tc>
      </w:tr>
      <w:tr>
        <w:trPr/>
        <w:tc>
          <w:tcPr>
            <w:tcW w:w="239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20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263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immediately after the Merger</w:t>
            </w:r>
          </w:p>
        </w:tc>
        <w:tc>
          <w:tcPr>
            <w:tcW w:w="13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bidi w:val="0"/>
              <w:spacing w:before="0" w:after="283"/>
              <w:jc w:val="right"/>
              <w:rPr/>
            </w:pPr>
            <w:r>
              <w:rPr/>
              <w:t>111,951,386</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639" w:type="dxa"/>
            <w:tcBorders/>
            <w:shd w:fill="CCEEFF" w:val="clear"/>
            <w:vAlign w:val="bottom"/>
          </w:tcPr>
          <w:p>
            <w:pPr>
              <w:pStyle w:val="TableContents"/>
              <w:bidi w:val="0"/>
              <w:spacing w:before="0" w:after="283"/>
              <w:jc w:val="right"/>
              <w:rPr/>
            </w:pPr>
            <w:r>
              <w:rPr/>
              <w:t>87,314,968</w:t>
            </w:r>
          </w:p>
        </w:tc>
        <w:tc>
          <w:tcPr>
            <w:tcW w:w="65" w:type="dxa"/>
            <w:tcBorders/>
            <w:shd w:fill="CCEEFF" w:val="clear"/>
            <w:vAlign w:val="bottom"/>
          </w:tcPr>
          <w:p>
            <w:pPr>
              <w:pStyle w:val="TableContents"/>
              <w:bidi w:val="0"/>
              <w:spacing w:before="0" w:after="283"/>
              <w:jc w:val="left"/>
              <w:rPr/>
            </w:pPr>
            <w:r>
              <w:rPr/>
              <w:t> </w:t>
            </w:r>
          </w:p>
        </w:tc>
      </w:tr>
      <w:tr>
        <w:trPr/>
        <w:tc>
          <w:tcPr>
            <w:tcW w:w="2398"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20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263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Earnout Arrangement with holders of Legacy Blaize Common Stock and outstanding equity awards </w:t>
      </w:r>
    </w:p>
    <w:p>
      <w:pPr>
        <w:pStyle w:val="TextBody"/>
        <w:bidi w:val="0"/>
        <w:spacing w:before="120" w:after="0"/>
        <w:jc w:val="left"/>
        <w:rPr>
          <w:rFonts w:ascii="Times New Roman" w:hAnsi="Times New Roman"/>
          <w:sz w:val="20"/>
        </w:rPr>
      </w:pPr>
      <w:r>
        <w:rPr>
          <w:rFonts w:ascii="Times New Roman" w:hAnsi="Times New Roman"/>
          <w:sz w:val="20"/>
        </w:rPr>
        <w:t xml:space="preserve">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the Companys closing share price on 20 trading days out of 30 consecutive trading days equals or exceeds defined per share thresholds in each tranche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Companys common stock price is greater than or equal to $12.50 per share, 3,750,000 Earnout Shares will be issued;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Companys common stock price is greater than or equal to $15.00 per share, an additional 3,750,000 Earnout Shares will be issued;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Companys common stock price is greater than or equal to $17.50 per share, an additional 3,750,000 Earnout Shares will be issued;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Companys common stock price is greater than or equal to $20.00 per share, an additional 3,750,000 Earnout Shares will be issued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Company employees entitled to receive Earnout Shares with respect to Blaize options and RSUs, must provide service through the date the target is achieved and if an employee departs, the Earnout Shares are reallocated to the remaining pool of recipients who received the right to the Earnout Shares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estimated fair value of the Earnout Shares subject to ASC 718 was $82.9 million, assuming the service conditions were met and assuming no forfeitures. The vested amounts of $3.5 million for the three months ended March 31, 2025 were recorded as stock-based compensation expense as it was probable the market condition would be met. There were 37,090 shares forfeited during the three months ended March 31, 2025, which have been reallocated to the remaining employees. The reallocated shares are considered a forfeiture of the original award and grant of a new award. The new awards have been remeasured upon grant and have an estimated fair value of $33 thousand.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Burkhan has the right to receive up to an aggregate amount of 2,600,000 shares of Blaize Class A Common Stock, 650,000 following the occurrence of each triggering event stated above (the Burkhan Earnout Shares). The fair value of the Burkhan Earnout Shares are also valued using the Monte Carlo simulation model.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4. Revenue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Companys revenue information by customer geographical region: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20"/>
        <w:gridCol w:w="151"/>
        <w:gridCol w:w="326"/>
        <w:gridCol w:w="1332"/>
        <w:gridCol w:w="139"/>
        <w:gridCol w:w="305"/>
        <w:gridCol w:w="326"/>
        <w:gridCol w:w="892"/>
        <w:gridCol w:w="64"/>
      </w:tblGrid>
      <w:tr>
        <w:trPr/>
        <w:tc>
          <w:tcPr>
            <w:tcW w:w="422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2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3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4"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i/>
              </w:rPr>
            </w:pPr>
            <w:r>
              <w:rPr>
                <w:i/>
              </w:rPr>
              <w:t>(Amounts in thousands)</w:t>
            </w:r>
          </w:p>
        </w:tc>
        <w:tc>
          <w:tcPr>
            <w:tcW w:w="151" w:type="dxa"/>
            <w:tcBorders/>
            <w:vAlign w:val="bottom"/>
          </w:tcPr>
          <w:p>
            <w:pPr>
              <w:pStyle w:val="TableContents"/>
              <w:bidi w:val="0"/>
              <w:spacing w:before="0" w:after="283"/>
              <w:jc w:val="left"/>
              <w:rPr/>
            </w:pPr>
            <w:r>
              <w:rPr/>
              <w:t>  </w:t>
            </w:r>
          </w:p>
        </w:tc>
        <w:tc>
          <w:tcPr>
            <w:tcW w:w="1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4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15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1332" w:type="dxa"/>
            <w:tcBorders/>
            <w:shd w:fill="CCEEFF" w:val="clear"/>
            <w:vAlign w:val="bottom"/>
          </w:tcPr>
          <w:p>
            <w:pPr>
              <w:pStyle w:val="TableContents"/>
              <w:bidi w:val="0"/>
              <w:spacing w:before="0" w:after="283"/>
              <w:jc w:val="right"/>
              <w:rPr/>
            </w:pPr>
            <w:r>
              <w:rPr/>
              <w:t>960</w:t>
            </w:r>
          </w:p>
        </w:tc>
        <w:tc>
          <w:tcPr>
            <w:tcW w:w="13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333</w:t>
            </w:r>
          </w:p>
        </w:tc>
        <w:tc>
          <w:tcPr>
            <w:tcW w:w="64" w:type="dxa"/>
            <w:tcBorders/>
            <w:shd w:fill="CCEEFF" w:val="clear"/>
            <w:vAlign w:val="bottom"/>
          </w:tcPr>
          <w:p>
            <w:pPr>
              <w:pStyle w:val="TableContents"/>
              <w:bidi w:val="0"/>
              <w:spacing w:before="0" w:after="283"/>
              <w:jc w:val="left"/>
              <w:rPr/>
            </w:pPr>
            <w:r>
              <w:rPr/>
              <w:t> </w:t>
            </w:r>
          </w:p>
        </w:tc>
      </w:tr>
      <w:tr>
        <w:trPr/>
        <w:tc>
          <w:tcPr>
            <w:tcW w:w="4220"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5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215</w:t>
            </w:r>
          </w:p>
        </w:tc>
        <w:tc>
          <w:tcPr>
            <w:tcW w:w="64" w:type="dxa"/>
            <w:tcBorders/>
            <w:vAlign w:val="bottom"/>
          </w:tcPr>
          <w:p>
            <w:pPr>
              <w:pStyle w:val="TableContents"/>
              <w:bidi w:val="0"/>
              <w:spacing w:before="0" w:after="283"/>
              <w:jc w:val="left"/>
              <w:rPr/>
            </w:pPr>
            <w:r>
              <w:rPr/>
              <w:t> </w:t>
            </w:r>
          </w:p>
        </w:tc>
      </w:tr>
      <w:tr>
        <w:trPr/>
        <w:tc>
          <w:tcPr>
            <w:tcW w:w="4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5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47</w:t>
            </w:r>
          </w:p>
        </w:tc>
        <w:tc>
          <w:tcPr>
            <w:tcW w:w="13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w:t>
            </w:r>
          </w:p>
        </w:tc>
        <w:tc>
          <w:tcPr>
            <w:tcW w:w="64" w:type="dxa"/>
            <w:tcBorders/>
            <w:shd w:fill="CCEEFF" w:val="clear"/>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39"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20"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5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1332" w:type="dxa"/>
            <w:tcBorders/>
            <w:vAlign w:val="bottom"/>
          </w:tcPr>
          <w:p>
            <w:pPr>
              <w:pStyle w:val="TableContents"/>
              <w:bidi w:val="0"/>
              <w:spacing w:before="0" w:after="283"/>
              <w:jc w:val="right"/>
              <w:rPr/>
            </w:pPr>
            <w:r>
              <w:rPr/>
              <w:t>1,007</w:t>
            </w:r>
          </w:p>
        </w:tc>
        <w:tc>
          <w:tcPr>
            <w:tcW w:w="13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549</w:t>
            </w:r>
          </w:p>
        </w:tc>
        <w:tc>
          <w:tcPr>
            <w:tcW w:w="64"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39"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provides a disaggregation of revenue based on the method of revenue recognition: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20"/>
        <w:gridCol w:w="151"/>
        <w:gridCol w:w="326"/>
        <w:gridCol w:w="1332"/>
        <w:gridCol w:w="139"/>
        <w:gridCol w:w="305"/>
        <w:gridCol w:w="326"/>
        <w:gridCol w:w="892"/>
        <w:gridCol w:w="64"/>
      </w:tblGrid>
      <w:tr>
        <w:trPr/>
        <w:tc>
          <w:tcPr>
            <w:tcW w:w="422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2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3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4"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i/>
              </w:rPr>
            </w:pPr>
            <w:r>
              <w:rPr>
                <w:i/>
              </w:rPr>
              <w:t>(Amounts in thousands)</w:t>
            </w:r>
          </w:p>
        </w:tc>
        <w:tc>
          <w:tcPr>
            <w:tcW w:w="151" w:type="dxa"/>
            <w:tcBorders/>
            <w:vAlign w:val="bottom"/>
          </w:tcPr>
          <w:p>
            <w:pPr>
              <w:pStyle w:val="TableContents"/>
              <w:bidi w:val="0"/>
              <w:spacing w:before="0" w:after="283"/>
              <w:jc w:val="left"/>
              <w:rPr/>
            </w:pPr>
            <w:r>
              <w:rPr/>
              <w:t>  </w:t>
            </w:r>
          </w:p>
        </w:tc>
        <w:tc>
          <w:tcPr>
            <w:tcW w:w="1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4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recognized at a point in time</w:t>
            </w:r>
          </w:p>
        </w:tc>
        <w:tc>
          <w:tcPr>
            <w:tcW w:w="15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1332" w:type="dxa"/>
            <w:tcBorders/>
            <w:shd w:fill="CCEEFF" w:val="clear"/>
            <w:vAlign w:val="bottom"/>
          </w:tcPr>
          <w:p>
            <w:pPr>
              <w:pStyle w:val="TableContents"/>
              <w:bidi w:val="0"/>
              <w:spacing w:before="0" w:after="283"/>
              <w:jc w:val="right"/>
              <w:rPr/>
            </w:pPr>
            <w:r>
              <w:rPr/>
              <w:t>1,007</w:t>
            </w:r>
          </w:p>
        </w:tc>
        <w:tc>
          <w:tcPr>
            <w:tcW w:w="13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w:t>
            </w:r>
          </w:p>
        </w:tc>
        <w:tc>
          <w:tcPr>
            <w:tcW w:w="64" w:type="dxa"/>
            <w:tcBorders/>
            <w:shd w:fill="CCEEFF" w:val="clear"/>
            <w:vAlign w:val="bottom"/>
          </w:tcPr>
          <w:p>
            <w:pPr>
              <w:pStyle w:val="TableContents"/>
              <w:bidi w:val="0"/>
              <w:spacing w:before="0" w:after="283"/>
              <w:jc w:val="left"/>
              <w:rPr/>
            </w:pPr>
            <w:r>
              <w:rPr/>
              <w:t> </w:t>
            </w:r>
          </w:p>
        </w:tc>
      </w:tr>
      <w:tr>
        <w:trPr/>
        <w:tc>
          <w:tcPr>
            <w:tcW w:w="4220" w:type="dxa"/>
            <w:tcBorders/>
          </w:tcPr>
          <w:p>
            <w:pPr>
              <w:pStyle w:val="TableContents"/>
              <w:bidi w:val="0"/>
              <w:spacing w:before="0" w:after="0"/>
              <w:jc w:val="left"/>
              <w:rPr>
                <w:rFonts w:ascii="Times New Roman" w:hAnsi="Times New Roman"/>
                <w:sz w:val="20"/>
              </w:rPr>
            </w:pPr>
            <w:r>
              <w:rPr>
                <w:rFonts w:ascii="Times New Roman" w:hAnsi="Times New Roman"/>
                <w:sz w:val="20"/>
              </w:rPr>
              <w:t>Revenue recognized over time</w:t>
            </w:r>
          </w:p>
        </w:tc>
        <w:tc>
          <w:tcPr>
            <w:tcW w:w="15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546</w:t>
            </w:r>
          </w:p>
        </w:tc>
        <w:tc>
          <w:tcPr>
            <w:tcW w:w="64"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39"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5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1332" w:type="dxa"/>
            <w:tcBorders/>
            <w:shd w:fill="CCEEFF" w:val="clear"/>
            <w:vAlign w:val="bottom"/>
          </w:tcPr>
          <w:p>
            <w:pPr>
              <w:pStyle w:val="TableContents"/>
              <w:bidi w:val="0"/>
              <w:spacing w:before="0" w:after="283"/>
              <w:jc w:val="right"/>
              <w:rPr/>
            </w:pPr>
            <w:r>
              <w:rPr/>
              <w:t>1,007</w:t>
            </w:r>
          </w:p>
        </w:tc>
        <w:tc>
          <w:tcPr>
            <w:tcW w:w="13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549</w:t>
            </w:r>
          </w:p>
        </w:tc>
        <w:tc>
          <w:tcPr>
            <w:tcW w:w="64" w:type="dxa"/>
            <w:tcBorders/>
            <w:shd w:fill="CCEEFF" w:val="clear"/>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39"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5. Fair Value Measurements </w:t>
      </w:r>
    </w:p>
    <w:p>
      <w:pPr>
        <w:pStyle w:val="TextBody"/>
        <w:bidi w:val="0"/>
        <w:spacing w:before="120" w:after="0"/>
        <w:jc w:val="left"/>
        <w:rPr>
          <w:rFonts w:ascii="Times New Roman" w:hAnsi="Times New Roman"/>
          <w:sz w:val="20"/>
        </w:rPr>
      </w:pPr>
      <w:r>
        <w:rPr>
          <w:rFonts w:ascii="Times New Roman" w:hAnsi="Times New Roman"/>
          <w:sz w:val="20"/>
        </w:rPr>
        <w:t>The table below presents the Companys financial assets and liabilities measured at fair value on a recurring basis aggregated by the level in the fair value hierarchy</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88"/>
        <w:gridCol w:w="157"/>
        <w:gridCol w:w="144"/>
        <w:gridCol w:w="749"/>
        <w:gridCol w:w="60"/>
        <w:gridCol w:w="157"/>
        <w:gridCol w:w="442"/>
        <w:gridCol w:w="442"/>
        <w:gridCol w:w="60"/>
        <w:gridCol w:w="157"/>
        <w:gridCol w:w="217"/>
        <w:gridCol w:w="906"/>
        <w:gridCol w:w="60"/>
        <w:gridCol w:w="157"/>
        <w:gridCol w:w="140"/>
        <w:gridCol w:w="684"/>
        <w:gridCol w:w="68"/>
      </w:tblGrid>
      <w:tr>
        <w:trPr/>
        <w:tc>
          <w:tcPr>
            <w:tcW w:w="4788"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78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3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March 31, 2025</w:t>
            </w:r>
          </w:p>
        </w:tc>
        <w:tc>
          <w:tcPr>
            <w:tcW w:w="68" w:type="dxa"/>
            <w:tcBorders/>
            <w:vAlign w:val="bottom"/>
          </w:tcPr>
          <w:p>
            <w:pPr>
              <w:pStyle w:val="TableContents"/>
              <w:bidi w:val="0"/>
              <w:spacing w:before="0" w:after="283"/>
              <w:jc w:val="left"/>
              <w:rPr/>
            </w:pPr>
            <w:r>
              <w:rPr/>
              <w:t> </w:t>
            </w:r>
          </w:p>
        </w:tc>
      </w:tr>
      <w:tr>
        <w:trPr/>
        <w:tc>
          <w:tcPr>
            <w:tcW w:w="4788" w:type="dxa"/>
            <w:tcBorders/>
            <w:vAlign w:val="bottom"/>
          </w:tcPr>
          <w:p>
            <w:pPr>
              <w:pStyle w:val="TableContents"/>
              <w:bidi w:val="0"/>
              <w:spacing w:before="0" w:after="283"/>
              <w:jc w:val="left"/>
              <w:rPr>
                <w:i/>
              </w:rPr>
            </w:pPr>
            <w:r>
              <w:rPr>
                <w:i/>
              </w:rPr>
              <w:t>(Amounts in thousands)</w:t>
            </w:r>
          </w:p>
        </w:tc>
        <w:tc>
          <w:tcPr>
            <w:tcW w:w="157"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Level 1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Level 2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Level 3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Total </w:t>
            </w:r>
          </w:p>
        </w:tc>
        <w:tc>
          <w:tcPr>
            <w:tcW w:w="68" w:type="dxa"/>
            <w:tcBorders/>
            <w:vAlign w:val="bottom"/>
          </w:tcPr>
          <w:p>
            <w:pPr>
              <w:pStyle w:val="TableContents"/>
              <w:bidi w:val="0"/>
              <w:spacing w:before="0" w:after="283"/>
              <w:jc w:val="left"/>
              <w:rPr/>
            </w:pPr>
            <w:r>
              <w:rPr/>
              <w:t> </w:t>
            </w:r>
          </w:p>
        </w:tc>
      </w:tr>
      <w:tr>
        <w:trPr/>
        <w:tc>
          <w:tcPr>
            <w:tcW w:w="47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5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788" w:type="dxa"/>
            <w:tcBorders/>
          </w:tcPr>
          <w:p>
            <w:pPr>
              <w:pStyle w:val="TableContents"/>
              <w:bidi w:val="0"/>
              <w:spacing w:before="0" w:after="0"/>
              <w:jc w:val="left"/>
              <w:rPr>
                <w:rFonts w:ascii="Times New Roman" w:hAnsi="Times New Roman"/>
                <w:sz w:val="20"/>
              </w:rPr>
            </w:pPr>
            <w:r>
              <w:rPr>
                <w:rFonts w:ascii="Times New Roman" w:hAnsi="Times New Roman"/>
                <w:sz w:val="20"/>
              </w:rPr>
              <w:t>U.S. Government treasury securities</w:t>
            </w:r>
          </w:p>
        </w:tc>
        <w:tc>
          <w:tcPr>
            <w:tcW w:w="15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749" w:type="dxa"/>
            <w:tcBorders/>
            <w:vAlign w:val="bottom"/>
          </w:tcPr>
          <w:p>
            <w:pPr>
              <w:pStyle w:val="TableContents"/>
              <w:bidi w:val="0"/>
              <w:spacing w:before="0" w:after="283"/>
              <w:jc w:val="right"/>
              <w:rPr/>
            </w:pPr>
            <w:r>
              <w:rPr/>
              <w:t>30,883</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w:t>
            </w:r>
          </w:p>
        </w:tc>
        <w:tc>
          <w:tcPr>
            <w:tcW w:w="4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4" w:type="dxa"/>
            <w:tcBorders/>
            <w:vAlign w:val="bottom"/>
          </w:tcPr>
          <w:p>
            <w:pPr>
              <w:pStyle w:val="TableContents"/>
              <w:bidi w:val="0"/>
              <w:spacing w:before="0" w:after="283"/>
              <w:jc w:val="right"/>
              <w:rPr/>
            </w:pPr>
            <w:r>
              <w:rPr/>
              <w:t>30,883</w:t>
            </w:r>
          </w:p>
        </w:tc>
        <w:tc>
          <w:tcPr>
            <w:tcW w:w="68" w:type="dxa"/>
            <w:tcBorders/>
            <w:vAlign w:val="bottom"/>
          </w:tcPr>
          <w:p>
            <w:pPr>
              <w:pStyle w:val="TableContents"/>
              <w:bidi w:val="0"/>
              <w:spacing w:before="0" w:after="283"/>
              <w:jc w:val="left"/>
              <w:rPr/>
            </w:pPr>
            <w:r>
              <w:rPr/>
              <w:t> </w:t>
            </w:r>
          </w:p>
        </w:tc>
      </w:tr>
      <w:tr>
        <w:trPr/>
        <w:tc>
          <w:tcPr>
            <w:tcW w:w="4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Government money market funds</w:t>
            </w:r>
          </w:p>
        </w:tc>
        <w:tc>
          <w:tcPr>
            <w:tcW w:w="15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5,336</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5,336</w:t>
            </w:r>
          </w:p>
        </w:tc>
        <w:tc>
          <w:tcPr>
            <w:tcW w:w="68" w:type="dxa"/>
            <w:tcBorders/>
            <w:shd w:fill="CCEEFF" w:val="clear"/>
            <w:vAlign w:val="bottom"/>
          </w:tcPr>
          <w:p>
            <w:pPr>
              <w:pStyle w:val="TableContents"/>
              <w:bidi w:val="0"/>
              <w:spacing w:before="0" w:after="283"/>
              <w:jc w:val="left"/>
              <w:rPr/>
            </w:pPr>
            <w:r>
              <w:rPr/>
              <w:t> </w:t>
            </w:r>
          </w:p>
        </w:tc>
      </w:tr>
      <w:tr>
        <w:trPr/>
        <w:tc>
          <w:tcPr>
            <w:tcW w:w="4788" w:type="dxa"/>
            <w:tcBorders/>
          </w:tcPr>
          <w:p>
            <w:pPr>
              <w:pStyle w:val="TableContents"/>
              <w:bidi w:val="0"/>
              <w:spacing w:before="0" w:after="0"/>
              <w:jc w:val="left"/>
              <w:rPr>
                <w:rFonts w:ascii="Times New Roman" w:hAnsi="Times New Roman"/>
                <w:sz w:val="20"/>
              </w:rPr>
            </w:pPr>
            <w:r>
              <w:rPr>
                <w:rFonts w:ascii="Times New Roman" w:hAnsi="Times New Roman"/>
                <w:sz w:val="20"/>
              </w:rPr>
              <w:t>Mutual funds</w:t>
            </w:r>
          </w:p>
        </w:tc>
        <w:tc>
          <w:tcPr>
            <w:tcW w:w="15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5,120</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5,120</w:t>
            </w:r>
          </w:p>
        </w:tc>
        <w:tc>
          <w:tcPr>
            <w:tcW w:w="68" w:type="dxa"/>
            <w:tcBorders/>
            <w:vAlign w:val="bottom"/>
          </w:tcPr>
          <w:p>
            <w:pPr>
              <w:pStyle w:val="TableContents"/>
              <w:bidi w:val="0"/>
              <w:spacing w:before="0" w:after="283"/>
              <w:jc w:val="left"/>
              <w:rPr/>
            </w:pPr>
            <w:r>
              <w:rPr/>
              <w:t> </w:t>
            </w:r>
          </w:p>
        </w:tc>
      </w:tr>
      <w:tr>
        <w:trPr/>
        <w:tc>
          <w:tcPr>
            <w:tcW w:w="4788"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 measured at fair value</w:t>
            </w:r>
          </w:p>
        </w:tc>
        <w:tc>
          <w:tcPr>
            <w:tcW w:w="15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41,339</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w:t>
            </w:r>
          </w:p>
        </w:tc>
        <w:tc>
          <w:tcPr>
            <w:tcW w:w="4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41,339</w:t>
            </w:r>
          </w:p>
        </w:tc>
        <w:tc>
          <w:tcPr>
            <w:tcW w:w="68" w:type="dxa"/>
            <w:tcBorders/>
            <w:shd w:fill="CCEEFF" w:val="clear"/>
            <w:vAlign w:val="bottom"/>
          </w:tcPr>
          <w:p>
            <w:pPr>
              <w:pStyle w:val="TableContents"/>
              <w:bidi w:val="0"/>
              <w:spacing w:before="0" w:after="283"/>
              <w:jc w:val="left"/>
              <w:rPr/>
            </w:pPr>
            <w:r>
              <w:rPr/>
              <w:t> </w:t>
            </w:r>
          </w:p>
        </w:tc>
      </w:tr>
      <w:tr>
        <w:trPr/>
        <w:tc>
          <w:tcPr>
            <w:tcW w:w="4788"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8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5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Earnout share liabilities</w:t>
            </w:r>
          </w:p>
        </w:tc>
        <w:tc>
          <w:tcPr>
            <w:tcW w:w="15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283"/>
              <w:jc w:val="left"/>
              <w:rPr/>
            </w:pPr>
            <w:r>
              <w:rPr/>
              <w:t>$</w:t>
            </w:r>
          </w:p>
        </w:tc>
        <w:tc>
          <w:tcPr>
            <w:tcW w:w="4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9,507</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9,507</w:t>
            </w:r>
          </w:p>
        </w:tc>
        <w:tc>
          <w:tcPr>
            <w:tcW w:w="68" w:type="dxa"/>
            <w:tcBorders/>
            <w:shd w:fill="CCEEFF" w:val="clear"/>
            <w:vAlign w:val="bottom"/>
          </w:tcPr>
          <w:p>
            <w:pPr>
              <w:pStyle w:val="TableContents"/>
              <w:bidi w:val="0"/>
              <w:spacing w:before="0" w:after="283"/>
              <w:jc w:val="left"/>
              <w:rPr/>
            </w:pPr>
            <w:r>
              <w:rPr/>
              <w:t> </w:t>
            </w:r>
          </w:p>
        </w:tc>
      </w:tr>
      <w:tr>
        <w:trPr/>
        <w:tc>
          <w:tcPr>
            <w:tcW w:w="4788"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4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8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15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7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42" w:type="dxa"/>
            <w:tcBorders/>
            <w:vAlign w:val="bottom"/>
          </w:tcPr>
          <w:p>
            <w:pPr>
              <w:pStyle w:val="TableContents"/>
              <w:bidi w:val="0"/>
              <w:spacing w:before="0" w:after="283"/>
              <w:jc w:val="left"/>
              <w:rPr/>
            </w:pPr>
            <w:r>
              <w:rPr/>
              <w:t>$</w:t>
            </w:r>
          </w:p>
        </w:tc>
        <w:tc>
          <w:tcPr>
            <w:tcW w:w="4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9,507</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4" w:type="dxa"/>
            <w:tcBorders/>
            <w:vAlign w:val="bottom"/>
          </w:tcPr>
          <w:p>
            <w:pPr>
              <w:pStyle w:val="TableContents"/>
              <w:bidi w:val="0"/>
              <w:spacing w:before="0" w:after="283"/>
              <w:jc w:val="right"/>
              <w:rPr/>
            </w:pPr>
            <w:r>
              <w:rPr/>
              <w:t>9,507</w:t>
            </w:r>
          </w:p>
        </w:tc>
        <w:tc>
          <w:tcPr>
            <w:tcW w:w="68" w:type="dxa"/>
            <w:tcBorders/>
            <w:vAlign w:val="bottom"/>
          </w:tcPr>
          <w:p>
            <w:pPr>
              <w:pStyle w:val="TableContents"/>
              <w:bidi w:val="0"/>
              <w:spacing w:before="0" w:after="283"/>
              <w:jc w:val="left"/>
              <w:rPr/>
            </w:pPr>
            <w:r>
              <w:rPr/>
              <w:t> </w:t>
            </w:r>
          </w:p>
        </w:tc>
      </w:tr>
      <w:tr>
        <w:trPr/>
        <w:tc>
          <w:tcPr>
            <w:tcW w:w="4788"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4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054"/>
        <w:gridCol w:w="154"/>
        <w:gridCol w:w="140"/>
        <w:gridCol w:w="694"/>
        <w:gridCol w:w="60"/>
        <w:gridCol w:w="154"/>
        <w:gridCol w:w="379"/>
        <w:gridCol w:w="380"/>
        <w:gridCol w:w="60"/>
        <w:gridCol w:w="154"/>
        <w:gridCol w:w="140"/>
        <w:gridCol w:w="800"/>
        <w:gridCol w:w="59"/>
        <w:gridCol w:w="154"/>
        <w:gridCol w:w="140"/>
        <w:gridCol w:w="800"/>
        <w:gridCol w:w="66"/>
      </w:tblGrid>
      <w:tr>
        <w:trPr/>
        <w:tc>
          <w:tcPr>
            <w:tcW w:w="5054"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05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11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6" w:type="dxa"/>
            <w:tcBorders/>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i/>
              </w:rPr>
            </w:pPr>
            <w:r>
              <w:rPr>
                <w:i/>
              </w:rPr>
              <w:t>(Amounts in thousands)</w:t>
            </w:r>
          </w:p>
        </w:tc>
        <w:tc>
          <w:tcPr>
            <w:tcW w:w="154"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U.S. Government treasury securities</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30,580</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30,580</w:t>
            </w:r>
          </w:p>
        </w:tc>
        <w:tc>
          <w:tcPr>
            <w:tcW w:w="66" w:type="dxa"/>
            <w:tcBorders/>
            <w:vAlign w:val="bottom"/>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Government money market funds</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9,247</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9,247</w:t>
            </w:r>
          </w:p>
        </w:tc>
        <w:tc>
          <w:tcPr>
            <w:tcW w:w="66" w:type="dxa"/>
            <w:tcBorders/>
            <w:shd w:fill="CCEEFF" w:val="clear"/>
            <w:vAlign w:val="bottom"/>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Mutual funds</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5,067</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5,067</w:t>
            </w:r>
          </w:p>
        </w:tc>
        <w:tc>
          <w:tcPr>
            <w:tcW w:w="66" w:type="dxa"/>
            <w:tcBorders/>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 measured at fair value</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44,894</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44,894</w:t>
            </w:r>
          </w:p>
        </w:tc>
        <w:tc>
          <w:tcPr>
            <w:tcW w:w="66" w:type="dxa"/>
            <w:tcBorders/>
            <w:shd w:fill="CCEEFF" w:val="clear"/>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Pay-to-Play convertible notes</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15,942</w:t>
            </w:r>
          </w:p>
        </w:tc>
        <w:tc>
          <w:tcPr>
            <w:tcW w:w="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15,942</w:t>
            </w:r>
          </w:p>
        </w:tc>
        <w:tc>
          <w:tcPr>
            <w:tcW w:w="66" w:type="dxa"/>
            <w:tcBorders/>
            <w:shd w:fill="CCEEFF" w:val="clear"/>
            <w:vAlign w:val="bottom"/>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2023 convertible notes</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132,687</w:t>
            </w:r>
          </w:p>
        </w:tc>
        <w:tc>
          <w:tcPr>
            <w:tcW w:w="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132,687</w:t>
            </w:r>
          </w:p>
        </w:tc>
        <w:tc>
          <w:tcPr>
            <w:tcW w:w="66" w:type="dxa"/>
            <w:tcBorders/>
            <w:vAlign w:val="bottom"/>
          </w:tcPr>
          <w:p>
            <w:pPr>
              <w:pStyle w:val="TableContents"/>
              <w:bidi w:val="0"/>
              <w:spacing w:before="0" w:after="283"/>
              <w:jc w:val="left"/>
              <w:rPr/>
            </w:pPr>
            <w:r>
              <w:rPr/>
              <w:t> </w:t>
            </w:r>
          </w:p>
        </w:tc>
      </w:tr>
      <w:tr>
        <w:trPr/>
        <w:tc>
          <w:tcPr>
            <w:tcW w:w="5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14,711</w:t>
            </w:r>
          </w:p>
        </w:tc>
        <w:tc>
          <w:tcPr>
            <w:tcW w:w="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14,711</w:t>
            </w:r>
          </w:p>
        </w:tc>
        <w:tc>
          <w:tcPr>
            <w:tcW w:w="66" w:type="dxa"/>
            <w:tcBorders/>
            <w:shd w:fill="CCEEFF" w:val="clear"/>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054"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163,340</w:t>
            </w:r>
          </w:p>
        </w:tc>
        <w:tc>
          <w:tcPr>
            <w:tcW w:w="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163,340</w:t>
            </w:r>
          </w:p>
        </w:tc>
        <w:tc>
          <w:tcPr>
            <w:tcW w:w="66" w:type="dxa"/>
            <w:tcBorders/>
            <w:vAlign w:val="bottom"/>
          </w:tcPr>
          <w:p>
            <w:pPr>
              <w:pStyle w:val="TableContents"/>
              <w:bidi w:val="0"/>
              <w:spacing w:before="0" w:after="283"/>
              <w:jc w:val="left"/>
              <w:rPr/>
            </w:pPr>
            <w:r>
              <w:rPr/>
              <w:t> </w:t>
            </w:r>
          </w:p>
        </w:tc>
      </w:tr>
      <w:tr>
        <w:trPr/>
        <w:tc>
          <w:tcPr>
            <w:tcW w:w="5054"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Level 1 instruments consisted of U.S. Government treasury securities, U.S. Government money market funds, and mutual funds because they were valued using quoted prices in active markets and can be redeemed on any business days with an intermediary. </w:t>
      </w:r>
    </w:p>
    <w:p>
      <w:pPr>
        <w:pStyle w:val="TextBody"/>
        <w:bidi w:val="0"/>
        <w:spacing w:before="240" w:after="0"/>
        <w:jc w:val="left"/>
        <w:rPr>
          <w:rFonts w:ascii="Times New Roman" w:hAnsi="Times New Roman"/>
          <w:sz w:val="20"/>
        </w:rPr>
      </w:pPr>
      <w:r>
        <w:rPr>
          <w:rFonts w:ascii="Times New Roman" w:hAnsi="Times New Roman"/>
          <w:sz w:val="20"/>
        </w:rPr>
        <w:t xml:space="preserve">Level 3 instruments consisted of earnout share liabilities. The Company has elected to apply the fair value option to measure all historical convertible notes and warrant liabilities (see Notes 8 and 9) and current earnout shares due to the nature of their embedded features. </w:t>
      </w:r>
    </w:p>
    <w:p>
      <w:pPr>
        <w:pStyle w:val="TextBody"/>
        <w:bidi w:val="0"/>
        <w:spacing w:before="240" w:after="0"/>
        <w:jc w:val="left"/>
        <w:rPr>
          <w:rFonts w:ascii="Times New Roman" w:hAnsi="Times New Roman"/>
          <w:sz w:val="20"/>
        </w:rPr>
      </w:pPr>
      <w:r>
        <w:rPr>
          <w:rFonts w:ascii="Times New Roman" w:hAnsi="Times New Roman"/>
          <w:sz w:val="20"/>
        </w:rPr>
        <w:t xml:space="preserve">Changes in the fair value measurement of Level 3 liabilities related to unrealized gains (losses) resulting from remeasurement of our outstanding historical convertible notes and warrant liabilities (see Notes 8 and 9) and current earnout shares. The respective changes for remeasurement are reflected in the change in fair value of convertible notes, change in fair value of warrant liabilities and change in fair value of the earnout liabilities in the condensed consolidated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changes in the fair values of the Level 3 liabilities were as follows: </w:t>
      </w:r>
    </w:p>
    <w:p>
      <w:pPr>
        <w:pStyle w:val="TextBody"/>
        <w:bidi w:val="0"/>
        <w:spacing w:before="0" w:after="0"/>
        <w:jc w:val="left"/>
        <w:rPr/>
      </w:pPr>
      <w:r>
        <w:rPr/>
        <w:t> </w:t>
      </w:r>
    </w:p>
    <w:tbl>
      <w:tblPr>
        <w:tblW w:w="10245" w:type="dxa"/>
        <w:jc w:val="center"/>
        <w:tblInd w:w="0" w:type="dxa"/>
        <w:tblLayout w:type="fixed"/>
        <w:tblCellMar>
          <w:top w:w="0" w:type="dxa"/>
          <w:left w:w="0" w:type="dxa"/>
          <w:bottom w:w="0" w:type="dxa"/>
          <w:right w:w="0" w:type="dxa"/>
        </w:tblCellMar>
      </w:tblPr>
      <w:tblGrid>
        <w:gridCol w:w="1130"/>
        <w:gridCol w:w="120"/>
        <w:gridCol w:w="289"/>
        <w:gridCol w:w="1561"/>
        <w:gridCol w:w="155"/>
        <w:gridCol w:w="60"/>
        <w:gridCol w:w="242"/>
        <w:gridCol w:w="1518"/>
        <w:gridCol w:w="155"/>
        <w:gridCol w:w="60"/>
        <w:gridCol w:w="291"/>
        <w:gridCol w:w="1574"/>
        <w:gridCol w:w="155"/>
        <w:gridCol w:w="60"/>
        <w:gridCol w:w="205"/>
        <w:gridCol w:w="1285"/>
        <w:gridCol w:w="155"/>
        <w:gridCol w:w="60"/>
        <w:gridCol w:w="140"/>
        <w:gridCol w:w="875"/>
        <w:gridCol w:w="155"/>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i/>
              </w:rPr>
            </w:pPr>
            <w:r>
              <w:rPr>
                <w:i/>
              </w:rPr>
              <w:t>(Amounts in thousands)</w:t>
            </w:r>
          </w:p>
        </w:tc>
        <w:tc>
          <w:tcPr>
            <w:tcW w:w="120" w:type="dxa"/>
            <w:tcBorders/>
            <w:vAlign w:val="bottom"/>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Pay-to-Play</w:t>
              <w:br/>
              <w:t>Convertible Notes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Convertible</w:t>
              <w:br/>
              <w:t>Notes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 liabilities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Earnout share</w:t>
              <w:br/>
              <w:t>liabilities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12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1561" w:type="dxa"/>
            <w:tcBorders/>
            <w:shd w:fill="CCEEFF" w:val="clear"/>
            <w:vAlign w:val="bottom"/>
          </w:tcPr>
          <w:p>
            <w:pPr>
              <w:pStyle w:val="TableContents"/>
              <w:bidi w:val="0"/>
              <w:spacing w:before="0" w:after="283"/>
              <w:jc w:val="right"/>
              <w:rPr/>
            </w:pPr>
            <w:r>
              <w:rPr/>
              <w:t>15,942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518" w:type="dxa"/>
            <w:tcBorders/>
            <w:shd w:fill="CCEEFF" w:val="clear"/>
            <w:vAlign w:val="bottom"/>
          </w:tcPr>
          <w:p>
            <w:pPr>
              <w:pStyle w:val="TableContents"/>
              <w:bidi w:val="0"/>
              <w:spacing w:before="0" w:after="283"/>
              <w:jc w:val="right"/>
              <w:rPr/>
            </w:pPr>
            <w:r>
              <w:rPr/>
              <w:t>132,687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574" w:type="dxa"/>
            <w:tcBorders/>
            <w:shd w:fill="CCEEFF" w:val="clear"/>
            <w:vAlign w:val="bottom"/>
          </w:tcPr>
          <w:p>
            <w:pPr>
              <w:pStyle w:val="TableContents"/>
              <w:bidi w:val="0"/>
              <w:spacing w:before="0" w:after="283"/>
              <w:jc w:val="right"/>
              <w:rPr/>
            </w:pPr>
            <w:r>
              <w:rPr/>
              <w:t>14,711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163,340</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earnout share awards</w:t>
            </w:r>
          </w:p>
        </w:tc>
        <w:tc>
          <w:tcPr>
            <w:tcW w:w="12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126,025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126,025</w:t>
            </w:r>
          </w:p>
        </w:tc>
        <w:tc>
          <w:tcPr>
            <w:tcW w:w="15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12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27,232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138,471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60,345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(116,518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109,530</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20"/>
              </w:rPr>
            </w:pPr>
            <w:r>
              <w:rPr>
                <w:rFonts w:ascii="Times New Roman" w:hAnsi="Times New Roman"/>
                <w:sz w:val="20"/>
              </w:rPr>
              <w:t>Conversion to common stock</w:t>
            </w:r>
          </w:p>
        </w:tc>
        <w:tc>
          <w:tcPr>
            <w:tcW w:w="12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(43,174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(271,158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(75,056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(389,388</w:t>
            </w:r>
          </w:p>
        </w:tc>
        <w:tc>
          <w:tcPr>
            <w:tcW w:w="15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single" w:sz="2" w:space="1" w:color="000000"/>
              </w:pBdr>
              <w:bidi w:val="0"/>
              <w:spacing w:before="0" w:after="0"/>
              <w:jc w:val="left"/>
              <w:rPr/>
            </w:pPr>
            <w:r>
              <w:rPr/>
              <w:t> </w:t>
            </w:r>
          </w:p>
        </w:tc>
        <w:tc>
          <w:tcPr>
            <w:tcW w:w="1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March 31, 2025</w:t>
            </w:r>
          </w:p>
        </w:tc>
        <w:tc>
          <w:tcPr>
            <w:tcW w:w="12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156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5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5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9,507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9,507</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9" w:type="dxa"/>
            <w:tcBorders/>
            <w:vAlign w:val="bottom"/>
          </w:tcPr>
          <w:p>
            <w:pPr>
              <w:pStyle w:val="TableContents"/>
              <w:pBdr>
                <w:top w:val="double" w:sz="6" w:space="1" w:color="000000"/>
              </w:pBdr>
              <w:bidi w:val="0"/>
              <w:spacing w:before="0" w:after="0"/>
              <w:jc w:val="left"/>
              <w:rPr/>
            </w:pPr>
            <w:r>
              <w:rPr/>
              <w:t> </w:t>
            </w:r>
          </w:p>
        </w:tc>
        <w:tc>
          <w:tcPr>
            <w:tcW w:w="1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5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5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8"/>
        <w:gridCol w:w="123"/>
        <w:gridCol w:w="315"/>
        <w:gridCol w:w="1539"/>
        <w:gridCol w:w="155"/>
        <w:gridCol w:w="63"/>
        <w:gridCol w:w="300"/>
        <w:gridCol w:w="1460"/>
        <w:gridCol w:w="60"/>
        <w:gridCol w:w="123"/>
        <w:gridCol w:w="183"/>
        <w:gridCol w:w="736"/>
        <w:gridCol w:w="60"/>
        <w:gridCol w:w="123"/>
        <w:gridCol w:w="1218"/>
        <w:gridCol w:w="1219"/>
        <w:gridCol w:w="60"/>
        <w:gridCol w:w="123"/>
        <w:gridCol w:w="140"/>
        <w:gridCol w:w="680"/>
        <w:gridCol w:w="67"/>
      </w:tblGrid>
      <w:tr>
        <w:trPr/>
        <w:tc>
          <w:tcPr>
            <w:tcW w:w="145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458" w:type="dxa"/>
            <w:tcBorders/>
            <w:vAlign w:val="bottom"/>
          </w:tcPr>
          <w:p>
            <w:pPr>
              <w:pStyle w:val="TableContents"/>
              <w:bidi w:val="0"/>
              <w:spacing w:before="0" w:after="283"/>
              <w:jc w:val="left"/>
              <w:rPr>
                <w:i/>
              </w:rPr>
            </w:pPr>
            <w:r>
              <w:rPr>
                <w:i/>
              </w:rPr>
              <w:t>(Amounts in thousands)</w:t>
            </w:r>
          </w:p>
        </w:tc>
        <w:tc>
          <w:tcPr>
            <w:tcW w:w="123" w:type="dxa"/>
            <w:tcBorders/>
            <w:vAlign w:val="bottom"/>
          </w:tcPr>
          <w:p>
            <w:pPr>
              <w:pStyle w:val="TableContents"/>
              <w:bidi w:val="0"/>
              <w:spacing w:before="0" w:after="283"/>
              <w:jc w:val="left"/>
              <w:rPr/>
            </w:pPr>
            <w:r>
              <w:rPr/>
              <w:t>  </w:t>
            </w:r>
          </w:p>
        </w:tc>
        <w:tc>
          <w:tcPr>
            <w:tcW w:w="18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Pay-to-Play</w:t>
              <w:br/>
              <w:t>Convertible Notes</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Convertible</w:t>
              <w:br/>
              <w:t>Notes</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bottom"/>
          </w:tcPr>
          <w:p>
            <w:pPr>
              <w:pStyle w:val="TableContents"/>
              <w:bidi w:val="0"/>
              <w:spacing w:before="0" w:after="283"/>
              <w:jc w:val="center"/>
              <w:rPr/>
            </w:pPr>
            <w:r>
              <w:rPr>
                <w:b/>
              </w:rPr>
              <w:t>Warrant</w:t>
            </w:r>
            <w:r>
              <w:rPr/>
              <w:br/>
            </w:r>
            <w:r>
              <w:rPr>
                <w:b/>
              </w:rPr>
              <w:t>liabilities</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Earnout share liabilities</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1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3"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w:t>
            </w:r>
          </w:p>
        </w:tc>
        <w:tc>
          <w:tcPr>
            <w:tcW w:w="1539" w:type="dxa"/>
            <w:tcBorders/>
            <w:shd w:fill="CCEEFF" w:val="clear"/>
            <w:vAlign w:val="bottom"/>
          </w:tcPr>
          <w:p>
            <w:pPr>
              <w:pStyle w:val="TableContents"/>
              <w:bidi w:val="0"/>
              <w:spacing w:before="0" w:after="283"/>
              <w:jc w:val="right"/>
              <w:rPr/>
            </w:pPr>
            <w:r>
              <w:rPr/>
              <w:t>14,641</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460" w:type="dxa"/>
            <w:tcBorders/>
            <w:shd w:fill="CCEEFF" w:val="clear"/>
            <w:vAlign w:val="bottom"/>
          </w:tcPr>
          <w:p>
            <w:pPr>
              <w:pStyle w:val="TableContents"/>
              <w:bidi w:val="0"/>
              <w:spacing w:before="0" w:after="283"/>
              <w:jc w:val="right"/>
              <w:rPr/>
            </w:pPr>
            <w:r>
              <w:rPr/>
              <w:t>18,064</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3,730</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36,435</w:t>
            </w:r>
          </w:p>
        </w:tc>
        <w:tc>
          <w:tcPr>
            <w:tcW w:w="67" w:type="dxa"/>
            <w:tcBorders/>
            <w:shd w:fill="CCEEFF" w:val="clear"/>
            <w:vAlign w:val="bottom"/>
          </w:tcPr>
          <w:p>
            <w:pPr>
              <w:pStyle w:val="TableContents"/>
              <w:bidi w:val="0"/>
              <w:spacing w:before="0" w:after="283"/>
              <w:jc w:val="left"/>
              <w:rPr/>
            </w:pPr>
            <w:r>
              <w:rPr/>
              <w:t> </w:t>
            </w:r>
          </w:p>
        </w:tc>
      </w:tr>
      <w:tr>
        <w:trPr/>
        <w:tc>
          <w:tcPr>
            <w:tcW w:w="1458"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2023 convertible notes and related warrants</w:t>
            </w:r>
          </w:p>
        </w:tc>
        <w:tc>
          <w:tcPr>
            <w:tcW w:w="123"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10,591</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909</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11,500</w:t>
            </w:r>
          </w:p>
        </w:tc>
        <w:tc>
          <w:tcPr>
            <w:tcW w:w="67" w:type="dxa"/>
            <w:tcBorders/>
            <w:vAlign w:val="bottom"/>
          </w:tcPr>
          <w:p>
            <w:pPr>
              <w:pStyle w:val="TableContents"/>
              <w:bidi w:val="0"/>
              <w:spacing w:before="0" w:after="283"/>
              <w:jc w:val="left"/>
              <w:rPr/>
            </w:pPr>
            <w:r>
              <w:rPr/>
              <w:t> </w:t>
            </w:r>
          </w:p>
        </w:tc>
      </w:tr>
      <w:tr>
        <w:trPr/>
        <w:tc>
          <w:tcPr>
            <w:tcW w:w="1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123"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539" w:type="dxa"/>
            <w:tcBorders/>
            <w:shd w:fill="CCEEFF" w:val="clear"/>
            <w:vAlign w:val="bottom"/>
          </w:tcPr>
          <w:p>
            <w:pPr>
              <w:pStyle w:val="TableContents"/>
              <w:bidi w:val="0"/>
              <w:spacing w:before="0" w:after="283"/>
              <w:jc w:val="right"/>
              <w:rPr/>
            </w:pPr>
            <w:r>
              <w:rPr/>
              <w:t>(92</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4,743</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3,515</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8,166</w:t>
            </w:r>
          </w:p>
        </w:tc>
        <w:tc>
          <w:tcPr>
            <w:tcW w:w="67" w:type="dxa"/>
            <w:tcBorders/>
            <w:shd w:fill="CCEEFF" w:val="clear"/>
            <w:vAlign w:val="bottom"/>
          </w:tcPr>
          <w:p>
            <w:pPr>
              <w:pStyle w:val="TableContents"/>
              <w:bidi w:val="0"/>
              <w:spacing w:before="0" w:after="283"/>
              <w:jc w:val="left"/>
              <w:rPr/>
            </w:pPr>
            <w:r>
              <w:rPr/>
              <w:t> </w:t>
            </w:r>
          </w:p>
        </w:tc>
      </w:tr>
      <w:tr>
        <w:trPr/>
        <w:tc>
          <w:tcPr>
            <w:tcW w:w="1458"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single" w:sz="2" w:space="1" w:color="000000"/>
              </w:pBdr>
              <w:bidi w:val="0"/>
              <w:spacing w:before="0" w:after="0"/>
              <w:jc w:val="left"/>
              <w:rPr/>
            </w:pPr>
            <w:r>
              <w:rPr/>
              <w:t> </w:t>
            </w:r>
          </w:p>
        </w:tc>
        <w:tc>
          <w:tcPr>
            <w:tcW w:w="15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458" w:type="dxa"/>
            <w:tcBorders/>
          </w:tcPr>
          <w:p>
            <w:pPr>
              <w:pStyle w:val="TableContents"/>
              <w:bidi w:val="0"/>
              <w:spacing w:before="0" w:after="0"/>
              <w:jc w:val="left"/>
              <w:rPr>
                <w:rFonts w:ascii="Times New Roman" w:hAnsi="Times New Roman"/>
                <w:sz w:val="20"/>
              </w:rPr>
            </w:pPr>
            <w:r>
              <w:rPr>
                <w:rFonts w:ascii="Times New Roman" w:hAnsi="Times New Roman"/>
                <w:sz w:val="20"/>
              </w:rPr>
              <w:t>Balance as of March 31, 2024</w:t>
            </w:r>
          </w:p>
        </w:tc>
        <w:tc>
          <w:tcPr>
            <w:tcW w:w="123"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w:t>
            </w:r>
          </w:p>
        </w:tc>
        <w:tc>
          <w:tcPr>
            <w:tcW w:w="1539" w:type="dxa"/>
            <w:tcBorders/>
            <w:vAlign w:val="bottom"/>
          </w:tcPr>
          <w:p>
            <w:pPr>
              <w:pStyle w:val="TableContents"/>
              <w:bidi w:val="0"/>
              <w:spacing w:before="0" w:after="283"/>
              <w:jc w:val="right"/>
              <w:rPr/>
            </w:pPr>
            <w:r>
              <w:rPr/>
              <w:t>14,549</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1460" w:type="dxa"/>
            <w:tcBorders/>
            <w:vAlign w:val="bottom"/>
          </w:tcPr>
          <w:p>
            <w:pPr>
              <w:pStyle w:val="TableContents"/>
              <w:bidi w:val="0"/>
              <w:spacing w:before="0" w:after="283"/>
              <w:jc w:val="right"/>
              <w:rPr/>
            </w:pPr>
            <w:r>
              <w:rPr/>
              <w:t>33,398</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736" w:type="dxa"/>
            <w:tcBorders/>
            <w:vAlign w:val="bottom"/>
          </w:tcPr>
          <w:p>
            <w:pPr>
              <w:pStyle w:val="TableContents"/>
              <w:bidi w:val="0"/>
              <w:spacing w:before="0" w:after="283"/>
              <w:jc w:val="right"/>
              <w:rPr/>
            </w:pPr>
            <w:r>
              <w:rPr/>
              <w:t>8,154</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56,101</w:t>
            </w:r>
          </w:p>
        </w:tc>
        <w:tc>
          <w:tcPr>
            <w:tcW w:w="67" w:type="dxa"/>
            <w:tcBorders/>
            <w:vAlign w:val="bottom"/>
          </w:tcPr>
          <w:p>
            <w:pPr>
              <w:pStyle w:val="TableContents"/>
              <w:bidi w:val="0"/>
              <w:spacing w:before="0" w:after="283"/>
              <w:jc w:val="left"/>
              <w:rPr/>
            </w:pPr>
            <w:r>
              <w:rPr/>
              <w:t> </w:t>
            </w:r>
          </w:p>
        </w:tc>
      </w:tr>
      <w:tr>
        <w:trPr/>
        <w:tc>
          <w:tcPr>
            <w:tcW w:w="1458"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5" w:type="dxa"/>
            <w:tcBorders/>
            <w:vAlign w:val="bottom"/>
          </w:tcPr>
          <w:p>
            <w:pPr>
              <w:pStyle w:val="TableContents"/>
              <w:pBdr>
                <w:top w:val="double" w:sz="6" w:space="1" w:color="000000"/>
              </w:pBdr>
              <w:bidi w:val="0"/>
              <w:spacing w:before="0" w:after="0"/>
              <w:jc w:val="left"/>
              <w:rPr/>
            </w:pPr>
            <w:r>
              <w:rPr/>
              <w:t> </w:t>
            </w:r>
          </w:p>
        </w:tc>
        <w:tc>
          <w:tcPr>
            <w:tcW w:w="15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14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18"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convertible notes and related warrants outstanding as of December 31, 2024 were classified within level 3 of the fair value hierarchy because there was no active market for the liabilities or similar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Level 1, Level 2, or Level 3 of the fair value hierarchy during the three months ended March 31, 2025 or 2024.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Merger, all then outstanding convertible notes and warrant liabilities were converted into shares of common stock (see Note 3). </w:t>
      </w:r>
    </w:p>
    <w:p>
      <w:pPr>
        <w:pStyle w:val="TextBody"/>
        <w:bidi w:val="0"/>
        <w:spacing w:before="360" w:after="0"/>
        <w:jc w:val="left"/>
        <w:rPr>
          <w:rFonts w:ascii="Times New Roman" w:hAnsi="Times New Roman"/>
          <w:b/>
          <w:sz w:val="20"/>
        </w:rPr>
      </w:pPr>
      <w:r>
        <w:rPr>
          <w:rFonts w:ascii="Times New Roman" w:hAnsi="Times New Roman"/>
          <w:b/>
          <w:sz w:val="20"/>
        </w:rPr>
        <w:t xml:space="preserve">Note 6.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66"/>
        <w:gridCol w:w="503"/>
        <w:gridCol w:w="319"/>
        <w:gridCol w:w="1279"/>
        <w:gridCol w:w="60"/>
        <w:gridCol w:w="503"/>
        <w:gridCol w:w="392"/>
        <w:gridCol w:w="1568"/>
        <w:gridCol w:w="65"/>
      </w:tblGrid>
      <w:tr>
        <w:trPr/>
        <w:tc>
          <w:tcPr>
            <w:tcW w:w="3066"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066"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1598" w:type="dxa"/>
            <w:gridSpan w:val="2"/>
            <w:tcBorders/>
            <w:vAlign w:val="bottom"/>
          </w:tcPr>
          <w:p>
            <w:pPr>
              <w:pStyle w:val="TableContents"/>
              <w:bidi w:val="0"/>
              <w:spacing w:before="0" w:after="283"/>
              <w:jc w:val="center"/>
              <w:rPr>
                <w:b/>
              </w:rPr>
            </w:pPr>
            <w:r>
              <w:rPr>
                <w:b/>
              </w:rPr>
              <w:t>As of March 31,</w:t>
            </w:r>
          </w:p>
        </w:tc>
        <w:tc>
          <w:tcPr>
            <w:tcW w:w="60"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1960" w:type="dxa"/>
            <w:gridSpan w:val="2"/>
            <w:tcBorders/>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3066" w:type="dxa"/>
            <w:tcBorders/>
            <w:vAlign w:val="bottom"/>
          </w:tcPr>
          <w:p>
            <w:pPr>
              <w:pStyle w:val="TableContents"/>
              <w:bidi w:val="0"/>
              <w:spacing w:before="0" w:after="283"/>
              <w:jc w:val="left"/>
              <w:rPr>
                <w:i/>
              </w:rPr>
            </w:pPr>
            <w:r>
              <w:rPr>
                <w:i/>
              </w:rPr>
              <w:t>(Amounts in thousands)</w:t>
            </w:r>
          </w:p>
        </w:tc>
        <w:tc>
          <w:tcPr>
            <w:tcW w:w="503" w:type="dxa"/>
            <w:tcBorders/>
            <w:vAlign w:val="bottom"/>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3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503"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1279" w:type="dxa"/>
            <w:tcBorders/>
            <w:shd w:fill="CCEEFF" w:val="clear"/>
            <w:vAlign w:val="bottom"/>
          </w:tcPr>
          <w:p>
            <w:pPr>
              <w:pStyle w:val="TableContents"/>
              <w:bidi w:val="0"/>
              <w:spacing w:before="0" w:after="283"/>
              <w:jc w:val="right"/>
              <w:rPr/>
            </w:pPr>
            <w:r>
              <w:rPr/>
              <w:t>7,576</w:t>
            </w:r>
          </w:p>
        </w:tc>
        <w:tc>
          <w:tcPr>
            <w:tcW w:w="60"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w:t>
            </w:r>
          </w:p>
        </w:tc>
        <w:tc>
          <w:tcPr>
            <w:tcW w:w="1568" w:type="dxa"/>
            <w:tcBorders/>
            <w:shd w:fill="CCEEFF" w:val="clear"/>
            <w:vAlign w:val="bottom"/>
          </w:tcPr>
          <w:p>
            <w:pPr>
              <w:pStyle w:val="TableContents"/>
              <w:bidi w:val="0"/>
              <w:spacing w:before="0" w:after="283"/>
              <w:jc w:val="right"/>
              <w:rPr/>
            </w:pPr>
            <w:r>
              <w:rPr/>
              <w:t>7,410</w:t>
            </w:r>
          </w:p>
        </w:tc>
        <w:tc>
          <w:tcPr>
            <w:tcW w:w="65" w:type="dxa"/>
            <w:tcBorders/>
            <w:shd w:fill="CCEEFF" w:val="clear"/>
            <w:vAlign w:val="bottom"/>
          </w:tcPr>
          <w:p>
            <w:pPr>
              <w:pStyle w:val="TableContents"/>
              <w:bidi w:val="0"/>
              <w:spacing w:before="0" w:after="283"/>
              <w:jc w:val="left"/>
              <w:rPr/>
            </w:pPr>
            <w:r>
              <w:rPr/>
              <w:t> </w:t>
            </w:r>
          </w:p>
        </w:tc>
      </w:tr>
      <w:tr>
        <w:trPr/>
        <w:tc>
          <w:tcPr>
            <w:tcW w:w="3066" w:type="dxa"/>
            <w:tcBorders/>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50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761</w:t>
            </w:r>
          </w:p>
        </w:tc>
        <w:tc>
          <w:tcPr>
            <w:tcW w:w="60"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1,064</w:t>
            </w:r>
          </w:p>
        </w:tc>
        <w:tc>
          <w:tcPr>
            <w:tcW w:w="65" w:type="dxa"/>
            <w:tcBorders/>
            <w:vAlign w:val="bottom"/>
          </w:tcPr>
          <w:p>
            <w:pPr>
              <w:pStyle w:val="TableContents"/>
              <w:bidi w:val="0"/>
              <w:spacing w:before="0" w:after="283"/>
              <w:jc w:val="left"/>
              <w:rPr/>
            </w:pPr>
            <w:r>
              <w:rPr/>
              <w:t> </w:t>
            </w:r>
          </w:p>
        </w:tc>
      </w:tr>
      <w:tr>
        <w:trPr/>
        <w:tc>
          <w:tcPr>
            <w:tcW w:w="3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503"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87</w:t>
            </w:r>
          </w:p>
        </w:tc>
        <w:tc>
          <w:tcPr>
            <w:tcW w:w="65" w:type="dxa"/>
            <w:tcBorders/>
            <w:shd w:fill="CCEEFF" w:val="clear"/>
            <w:vAlign w:val="bottom"/>
          </w:tcPr>
          <w:p>
            <w:pPr>
              <w:pStyle w:val="TableContents"/>
              <w:bidi w:val="0"/>
              <w:spacing w:before="0" w:after="283"/>
              <w:jc w:val="left"/>
              <w:rPr/>
            </w:pPr>
            <w:r>
              <w:rPr/>
              <w:t> </w:t>
            </w:r>
          </w:p>
        </w:tc>
      </w:tr>
      <w:tr>
        <w:trPr/>
        <w:tc>
          <w:tcPr>
            <w:tcW w:w="3066" w:type="dxa"/>
            <w:tcBorders/>
            <w:vAlign w:val="bottom"/>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pPr>
            <w:r>
              <w:rPr/>
              <w:t>  </w:t>
            </w:r>
          </w:p>
        </w:tc>
        <w:tc>
          <w:tcPr>
            <w:tcW w:w="319"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392" w:type="dxa"/>
            <w:tcBorders/>
            <w:vAlign w:val="bottom"/>
          </w:tcPr>
          <w:p>
            <w:pPr>
              <w:pStyle w:val="TableContents"/>
              <w:pBdr>
                <w:top w:val="single" w:sz="2" w:space="1" w:color="000000"/>
              </w:pBdr>
              <w:bidi w:val="0"/>
              <w:spacing w:before="0" w:after="0"/>
              <w:jc w:val="left"/>
              <w:rPr/>
            </w:pPr>
            <w:r>
              <w:rPr/>
              <w:t> </w:t>
            </w:r>
          </w:p>
        </w:tc>
        <w:tc>
          <w:tcPr>
            <w:tcW w:w="156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066"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50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w:t>
            </w:r>
          </w:p>
        </w:tc>
        <w:tc>
          <w:tcPr>
            <w:tcW w:w="1279" w:type="dxa"/>
            <w:tcBorders/>
            <w:vAlign w:val="bottom"/>
          </w:tcPr>
          <w:p>
            <w:pPr>
              <w:pStyle w:val="TableContents"/>
              <w:bidi w:val="0"/>
              <w:spacing w:before="0" w:after="283"/>
              <w:jc w:val="right"/>
              <w:rPr/>
            </w:pPr>
            <w:r>
              <w:rPr/>
              <w:t>8,383</w:t>
            </w:r>
          </w:p>
        </w:tc>
        <w:tc>
          <w:tcPr>
            <w:tcW w:w="60"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w:t>
            </w:r>
          </w:p>
        </w:tc>
        <w:tc>
          <w:tcPr>
            <w:tcW w:w="1568" w:type="dxa"/>
            <w:tcBorders/>
            <w:vAlign w:val="bottom"/>
          </w:tcPr>
          <w:p>
            <w:pPr>
              <w:pStyle w:val="TableContents"/>
              <w:bidi w:val="0"/>
              <w:spacing w:before="0" w:after="283"/>
              <w:jc w:val="right"/>
              <w:rPr/>
            </w:pPr>
            <w:r>
              <w:rPr/>
              <w:t>8,561</w:t>
            </w:r>
          </w:p>
        </w:tc>
        <w:tc>
          <w:tcPr>
            <w:tcW w:w="65" w:type="dxa"/>
            <w:tcBorders/>
            <w:vAlign w:val="bottom"/>
          </w:tcPr>
          <w:p>
            <w:pPr>
              <w:pStyle w:val="TableContents"/>
              <w:bidi w:val="0"/>
              <w:spacing w:before="0" w:after="283"/>
              <w:jc w:val="left"/>
              <w:rPr/>
            </w:pPr>
            <w:r>
              <w:rPr/>
              <w:t> </w:t>
            </w:r>
          </w:p>
        </w:tc>
      </w:tr>
      <w:tr>
        <w:trPr/>
        <w:tc>
          <w:tcPr>
            <w:tcW w:w="3066" w:type="dxa"/>
            <w:tcBorders/>
            <w:vAlign w:val="bottom"/>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pPr>
            <w:r>
              <w:rPr/>
              <w:t>  </w:t>
            </w:r>
          </w:p>
        </w:tc>
        <w:tc>
          <w:tcPr>
            <w:tcW w:w="319" w:type="dxa"/>
            <w:tcBorders/>
            <w:vAlign w:val="bottom"/>
          </w:tcPr>
          <w:p>
            <w:pPr>
              <w:pStyle w:val="TableContents"/>
              <w:pBdr>
                <w:top w:val="double" w:sz="6" w:space="1" w:color="000000"/>
              </w:pBdr>
              <w:bidi w:val="0"/>
              <w:spacing w:before="0" w:after="0"/>
              <w:jc w:val="left"/>
              <w:rPr/>
            </w:pPr>
            <w:r>
              <w:rPr/>
              <w:t> </w:t>
            </w:r>
          </w:p>
        </w:tc>
        <w:tc>
          <w:tcPr>
            <w:tcW w:w="12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392" w:type="dxa"/>
            <w:tcBorders/>
            <w:vAlign w:val="bottom"/>
          </w:tcPr>
          <w:p>
            <w:pPr>
              <w:pStyle w:val="TableContents"/>
              <w:pBdr>
                <w:top w:val="double" w:sz="6" w:space="1" w:color="000000"/>
              </w:pBdr>
              <w:bidi w:val="0"/>
              <w:spacing w:before="0" w:after="0"/>
              <w:jc w:val="left"/>
              <w:rPr/>
            </w:pPr>
            <w:r>
              <w:rPr/>
              <w:t> </w:t>
            </w:r>
          </w:p>
        </w:tc>
        <w:tc>
          <w:tcPr>
            <w:tcW w:w="156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Note 7.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United States federal and state taxes as well as other foreign income taxes.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2025 and 2024, the Company recorded a provision for income taxes of $0.2 million, which represented an effective tax rate of (0.1)% and (1.4)%, respectively. The effective income tax rates for both the three months ended March 31, 2025 and 2024 are different from the U.S. federal statutory rate of 21.0% due to the valuation allowance. </w:t>
      </w:r>
    </w:p>
    <w:p>
      <w:pPr>
        <w:pStyle w:val="TextBody"/>
        <w:bidi w:val="0"/>
        <w:spacing w:before="360" w:after="0"/>
        <w:jc w:val="left"/>
        <w:rPr>
          <w:rFonts w:ascii="Times New Roman" w:hAnsi="Times New Roman"/>
          <w:b/>
          <w:sz w:val="20"/>
        </w:rPr>
      </w:pPr>
      <w:r>
        <w:rPr>
          <w:rFonts w:ascii="Times New Roman" w:hAnsi="Times New Roman"/>
          <w:b/>
          <w:sz w:val="20"/>
        </w:rPr>
        <w:t xml:space="preserve">Note 8. Convertible Notes and Demand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Pay-to-Play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15). Pursuant to the 2022 P2P NPA, each Lender will pay the Company an agreed upon amount (Consideration) in return for one or more promissory notes. The P2P Notes had an initial 24-month term from the date of the 2022 P2P NPA which is December 9, 2024. </w:t>
      </w:r>
    </w:p>
    <w:p>
      <w:pPr>
        <w:pStyle w:val="TextBody"/>
        <w:bidi w:val="0"/>
        <w:spacing w:before="240" w:after="0"/>
        <w:jc w:val="left"/>
        <w:rPr>
          <w:rFonts w:ascii="Times New Roman" w:hAnsi="Times New Roman"/>
          <w:sz w:val="20"/>
        </w:rPr>
      </w:pPr>
      <w:r>
        <w:rPr>
          <w:rFonts w:ascii="Times New Roman" w:hAnsi="Times New Roman"/>
          <w:sz w:val="20"/>
        </w:rPr>
        <w:t xml:space="preserve">The 2022 P2P NPA provided that the P2P Notes would be converted upon the consummation of the Merger and that, at such time, all outstanding principal and unpaid accrued interest due on the P2P Notes shall be converted into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stock remain as converted common stock for that portion equal to the shortfall in its pro-rata contribution. Additionally, investors in the P2P Notes also received warrants (the P2P Warrants) whose total exercise price is determined based on the timing of investment as well as the level of investor participation vis-à-vis each investors designated pro-rata portion.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Merger, as provided by the terms of the P2P notes, the outstanding P2P Notes were converted, at the discretion of the holders, to shares of common stock (see Note 3).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2023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Lenders,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 </w:t>
      </w:r>
    </w:p>
    <w:p>
      <w:pPr>
        <w:pStyle w:val="TextBody"/>
        <w:bidi w:val="0"/>
        <w:spacing w:before="240" w:after="0"/>
        <w:jc w:val="left"/>
        <w:rPr>
          <w:rFonts w:ascii="Times New Roman" w:hAnsi="Times New Roman"/>
          <w:sz w:val="20"/>
        </w:rPr>
      </w:pPr>
      <w:r>
        <w:rPr>
          <w:rFonts w:ascii="Times New Roman" w:hAnsi="Times New Roman"/>
          <w:sz w:val="20"/>
        </w:rPr>
        <w:t xml:space="preserve">As of the April 22, 2024 amendment, the convertible notes were subject to automatic conversion upon the consummation of a SPAC Transaction. Investors in these secured convertible notes also received warrants to purchase equity shares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distributes were not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Upfront costs and fees related to items for which the fair value option is elected must be recognized immediately. As such issuance costs (warrants) and fees associated with the convertible notes were recognized in earnings in the years that they were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One investor who purchased a 2023 Convertible Note also received an RSU grant for a total of 6,000,000 RSUs (see Note 15) which vested in full in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Loan </w:t>
      </w:r>
    </w:p>
    <w:p>
      <w:pPr>
        <w:pStyle w:val="TextBody"/>
        <w:bidi w:val="0"/>
        <w:spacing w:before="120" w:after="0"/>
        <w:jc w:val="left"/>
        <w:rPr>
          <w:rFonts w:ascii="Times New Roman" w:hAnsi="Times New Roman"/>
          <w:sz w:val="20"/>
        </w:rPr>
      </w:pPr>
      <w:r>
        <w:rPr>
          <w:rFonts w:ascii="Times New Roman" w:hAnsi="Times New Roman"/>
          <w:sz w:val="20"/>
        </w:rPr>
        <w:t xml:space="preserve">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March 31, 2025 and December 31, 2024, the Company had outstanding Working Capital Loans of $1.5 million and zero,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Advances from Related Party </w:t>
      </w:r>
    </w:p>
    <w:p>
      <w:pPr>
        <w:pStyle w:val="TextBody"/>
        <w:bidi w:val="0"/>
        <w:spacing w:before="120" w:after="0"/>
        <w:jc w:val="left"/>
        <w:rPr>
          <w:rFonts w:ascii="Times New Roman" w:hAnsi="Times New Roman"/>
          <w:sz w:val="20"/>
        </w:rPr>
      </w:pPr>
      <w:r>
        <w:rPr>
          <w:rFonts w:ascii="Times New Roman" w:hAnsi="Times New Roman"/>
          <w:sz w:val="20"/>
        </w:rPr>
        <w:t xml:space="preserve">As of January 13, 2025, BurTech LP provided working capital and extension deposits on behalf of the BurTech. These amounts are reflected on the condensed consolidated balance sheets as advances from related party. The advances are non-interest bearing and payable on demand. As of March 31, 2025 and December 31, 2024, the Company had outstanding advances from the related party in the amount of $2.9 million and zero,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Note 9. 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Legacy Blaize 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Companys various historical debt and equity financing arrangements, the Company issued convertible preferred stock warrants to purchase shares of its various series of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preferred stock warrants were classified as liabilities, with changes in fair value recorded through earnings, as the underlying convertible preferred shares can be redeemed by the holders of these shares upon the occurrence of certain events that are outside of our control. As of December 31, 2024, the Company had outstanding warrant liabilities of $14.7 million.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 </w:t>
      </w:r>
    </w:p>
    <w:p>
      <w:pPr>
        <w:pStyle w:val="TextBody"/>
        <w:bidi w:val="0"/>
        <w:spacing w:before="240" w:after="0"/>
        <w:jc w:val="left"/>
        <w:rPr>
          <w:rFonts w:ascii="Times New Roman" w:hAnsi="Times New Roman"/>
          <w:sz w:val="20"/>
        </w:rPr>
      </w:pPr>
      <w:r>
        <w:rPr>
          <w:rFonts w:ascii="Times New Roman" w:hAnsi="Times New Roman"/>
          <w:sz w:val="20"/>
        </w:rPr>
        <w:t xml:space="preserve">After the Private Warrants Conversion, the Private Warrants are indexed to the shares of Companys common stock, and therefore were reclassified from debt classified instruments to equity classified instruments.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Publicly and Privately Traded Warrants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Merger, BurTechs 28,750,000 public warrants and 898,250 private warrants outstanding immediately prior to the Merger became warrants of Blaize. </w:t>
      </w:r>
    </w:p>
    <w:p>
      <w:pPr>
        <w:pStyle w:val="TextBody"/>
        <w:bidi w:val="0"/>
        <w:spacing w:before="240" w:after="0"/>
        <w:jc w:val="left"/>
        <w:rPr>
          <w:rFonts w:ascii="Times New Roman" w:hAnsi="Times New Roman"/>
          <w:sz w:val="20"/>
        </w:rPr>
      </w:pPr>
      <w:r>
        <w:rPr>
          <w:rFonts w:ascii="Times New Roman" w:hAnsi="Times New Roman"/>
          <w:sz w:val="20"/>
        </w:rPr>
        <w:t xml:space="preserve">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outstanding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given after the warrants become exercisable (the 30-day redemption period) to each warrant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there is a current registration statement in effect with respect to the shares of common stock underlying such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described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Private Warrants, as well as any warrants underlying additional units we issue to BurTech, officers, directors, initial stockholders or their affiliates in payment of working capital loans made to the Company, will be identical to the warrants underlying the units offered in the initial public offering, except were will not be transferable, assignable or saleable until 30 days after the consummation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paid-in-capital. The compensation expense recognized during the three months ended March 31, 2025 was approximately $12 thousand.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used in the Black-Scholes option pricing model to fair value the common stock warrants were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651"/>
        <w:gridCol w:w="814"/>
        <w:gridCol w:w="529"/>
        <w:gridCol w:w="1667"/>
        <w:gridCol w:w="278"/>
      </w:tblGrid>
      <w:tr>
        <w:trPr/>
        <w:tc>
          <w:tcPr>
            <w:tcW w:w="3651" w:type="dxa"/>
            <w:tcBorders/>
            <w:vAlign w:val="center"/>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65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left"/>
              <w:rPr/>
            </w:pPr>
            <w:r>
              <w:rPr/>
              <w:t>  </w:t>
            </w:r>
          </w:p>
        </w:tc>
        <w:tc>
          <w:tcPr>
            <w:tcW w:w="2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March 31, 2025</w:t>
            </w:r>
          </w:p>
        </w:tc>
        <w:tc>
          <w:tcPr>
            <w:tcW w:w="278"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814"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left"/>
              <w:rPr/>
            </w:pPr>
            <w:r>
              <w:rPr/>
              <w:t> </w:t>
            </w:r>
          </w:p>
        </w:tc>
        <w:tc>
          <w:tcPr>
            <w:tcW w:w="1667" w:type="dxa"/>
            <w:tcBorders/>
            <w:shd w:fill="CCEEFF" w:val="clear"/>
            <w:vAlign w:val="bottom"/>
          </w:tcPr>
          <w:p>
            <w:pPr>
              <w:pStyle w:val="TableContents"/>
              <w:bidi w:val="0"/>
              <w:spacing w:before="0" w:after="283"/>
              <w:jc w:val="right"/>
              <w:rPr/>
            </w:pPr>
            <w:r>
              <w:rPr/>
              <w:t>4.3</w:t>
            </w:r>
          </w:p>
        </w:tc>
        <w:tc>
          <w:tcPr>
            <w:tcW w:w="278"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814"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left"/>
              <w:rPr/>
            </w:pPr>
            <w:r>
              <w:rPr/>
              <w:t> </w:t>
            </w:r>
          </w:p>
        </w:tc>
        <w:tc>
          <w:tcPr>
            <w:tcW w:w="1667" w:type="dxa"/>
            <w:tcBorders/>
            <w:vAlign w:val="bottom"/>
          </w:tcPr>
          <w:p>
            <w:pPr>
              <w:pStyle w:val="TableContents"/>
              <w:bidi w:val="0"/>
              <w:spacing w:before="0" w:after="283"/>
              <w:jc w:val="right"/>
              <w:rPr/>
            </w:pPr>
            <w:r>
              <w:rPr/>
              <w:t>5.0</w:t>
            </w:r>
          </w:p>
        </w:tc>
        <w:tc>
          <w:tcPr>
            <w:tcW w:w="278"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814"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left"/>
              <w:rPr/>
            </w:pPr>
            <w:r>
              <w:rPr/>
              <w:t> </w:t>
            </w:r>
          </w:p>
        </w:tc>
        <w:tc>
          <w:tcPr>
            <w:tcW w:w="1667" w:type="dxa"/>
            <w:tcBorders/>
            <w:shd w:fill="CCEEFF" w:val="clear"/>
            <w:vAlign w:val="bottom"/>
          </w:tcPr>
          <w:p>
            <w:pPr>
              <w:pStyle w:val="TableContents"/>
              <w:bidi w:val="0"/>
              <w:spacing w:before="0" w:after="283"/>
              <w:jc w:val="right"/>
              <w:rPr/>
            </w:pPr>
            <w:r>
              <w:rPr/>
              <w:t>60.0</w:t>
            </w:r>
          </w:p>
        </w:tc>
        <w:tc>
          <w:tcPr>
            <w:tcW w:w="278"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814"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left"/>
              <w:rPr/>
            </w:pPr>
            <w:r>
              <w:rPr/>
              <w:t> </w:t>
            </w:r>
          </w:p>
        </w:tc>
        <w:tc>
          <w:tcPr>
            <w:tcW w:w="1667"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fair value of common stock</w:t>
            </w:r>
          </w:p>
        </w:tc>
        <w:tc>
          <w:tcPr>
            <w:tcW w:w="814"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left"/>
              <w:rPr/>
            </w:pPr>
            <w:r>
              <w:rPr/>
              <w:t>$</w:t>
            </w:r>
          </w:p>
        </w:tc>
        <w:tc>
          <w:tcPr>
            <w:tcW w:w="1667" w:type="dxa"/>
            <w:tcBorders/>
            <w:shd w:fill="CCEEFF" w:val="clear"/>
            <w:vAlign w:val="bottom"/>
          </w:tcPr>
          <w:p>
            <w:pPr>
              <w:pStyle w:val="TableContents"/>
              <w:bidi w:val="0"/>
              <w:spacing w:before="0" w:after="283"/>
              <w:jc w:val="right"/>
              <w:rPr/>
            </w:pPr>
            <w:r>
              <w:rPr/>
              <w:t>3.34</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10.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 </w:t>
      </w:r>
    </w:p>
    <w:p>
      <w:pPr>
        <w:pStyle w:val="TextBody"/>
        <w:bidi w:val="0"/>
        <w:spacing w:before="20" w:after="0"/>
        <w:jc w:val="left"/>
        <w:rPr>
          <w:rFonts w:ascii="Times New Roman" w:hAnsi="Times New Roman"/>
          <w:sz w:val="20"/>
        </w:rPr>
      </w:pPr>
      <w:r>
        <w:rPr>
          <w:rFonts w:ascii="Times New Roman" w:hAnsi="Times New Roman"/>
          <w:sz w:val="20"/>
        </w:rPr>
        <w:t xml:space="preserve">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 </w:t>
      </w:r>
    </w:p>
    <w:p>
      <w:pPr>
        <w:pStyle w:val="TextBody"/>
        <w:bidi w:val="0"/>
        <w:spacing w:before="20" w:after="0"/>
        <w:jc w:val="left"/>
        <w:rPr>
          <w:rFonts w:ascii="Times New Roman" w:hAnsi="Times New Roman"/>
          <w:sz w:val="20"/>
        </w:rPr>
      </w:pPr>
      <w:r>
        <w:rPr>
          <w:rFonts w:ascii="Times New Roman" w:hAnsi="Times New Roman"/>
          <w:sz w:val="20"/>
        </w:rPr>
        <w:t xml:space="preserve">The components of the net lease cost reflected in the Companys condensed consolidated statements of operations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51"/>
        <w:gridCol w:w="151"/>
        <w:gridCol w:w="374"/>
        <w:gridCol w:w="1017"/>
        <w:gridCol w:w="160"/>
        <w:gridCol w:w="345"/>
        <w:gridCol w:w="374"/>
        <w:gridCol w:w="1019"/>
        <w:gridCol w:w="64"/>
      </w:tblGrid>
      <w:tr>
        <w:trPr/>
        <w:tc>
          <w:tcPr>
            <w:tcW w:w="4251"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51"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2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4" w:type="dxa"/>
            <w:tcBorders/>
            <w:vAlign w:val="bottom"/>
          </w:tcPr>
          <w:p>
            <w:pPr>
              <w:pStyle w:val="TableContents"/>
              <w:bidi w:val="0"/>
              <w:spacing w:before="0" w:after="283"/>
              <w:jc w:val="left"/>
              <w:rPr/>
            </w:pPr>
            <w:r>
              <w:rPr/>
              <w:t> </w:t>
            </w:r>
          </w:p>
        </w:tc>
      </w:tr>
      <w:tr>
        <w:trPr/>
        <w:tc>
          <w:tcPr>
            <w:tcW w:w="4251" w:type="dxa"/>
            <w:tcBorders/>
            <w:vAlign w:val="bottom"/>
          </w:tcPr>
          <w:p>
            <w:pPr>
              <w:pStyle w:val="TableContents"/>
              <w:bidi w:val="0"/>
              <w:spacing w:before="0" w:after="283"/>
              <w:jc w:val="left"/>
              <w:rPr>
                <w:i/>
              </w:rPr>
            </w:pPr>
            <w:r>
              <w:rPr>
                <w:i/>
              </w:rPr>
              <w:t>(Amounts in thousands)</w:t>
            </w:r>
          </w:p>
        </w:tc>
        <w:tc>
          <w:tcPr>
            <w:tcW w:w="151"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4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w:t>
            </w:r>
          </w:p>
        </w:tc>
        <w:tc>
          <w:tcPr>
            <w:tcW w:w="151"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200</w:t>
            </w:r>
          </w:p>
        </w:tc>
        <w:tc>
          <w:tcPr>
            <w:tcW w:w="1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204</w:t>
            </w:r>
          </w:p>
        </w:tc>
        <w:tc>
          <w:tcPr>
            <w:tcW w:w="64" w:type="dxa"/>
            <w:tcBorders/>
            <w:shd w:fill="CCEEFF" w:val="clear"/>
            <w:vAlign w:val="bottom"/>
          </w:tcPr>
          <w:p>
            <w:pPr>
              <w:pStyle w:val="TableContents"/>
              <w:bidi w:val="0"/>
              <w:spacing w:before="0" w:after="283"/>
              <w:jc w:val="left"/>
              <w:rPr/>
            </w:pPr>
            <w:r>
              <w:rPr/>
              <w:t> </w:t>
            </w:r>
          </w:p>
        </w:tc>
      </w:tr>
      <w:tr>
        <w:trPr/>
        <w:tc>
          <w:tcPr>
            <w:tcW w:w="4251" w:type="dxa"/>
            <w:tcBorders/>
          </w:tcPr>
          <w:p>
            <w:pPr>
              <w:pStyle w:val="TableContents"/>
              <w:bidi w:val="0"/>
              <w:spacing w:before="0" w:after="0"/>
              <w:jc w:val="left"/>
              <w:rPr>
                <w:rFonts w:ascii="Times New Roman" w:hAnsi="Times New Roman"/>
                <w:sz w:val="20"/>
              </w:rPr>
            </w:pPr>
            <w:r>
              <w:rPr>
                <w:rFonts w:ascii="Times New Roman" w:hAnsi="Times New Roman"/>
                <w:sz w:val="20"/>
              </w:rPr>
              <w:t>Short-term</w:t>
            </w:r>
          </w:p>
        </w:tc>
        <w:tc>
          <w:tcPr>
            <w:tcW w:w="151"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5</w:t>
            </w:r>
          </w:p>
        </w:tc>
        <w:tc>
          <w:tcPr>
            <w:tcW w:w="1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425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37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374"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costs</w:t>
            </w:r>
          </w:p>
        </w:tc>
        <w:tc>
          <w:tcPr>
            <w:tcW w:w="151"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205</w:t>
            </w:r>
          </w:p>
        </w:tc>
        <w:tc>
          <w:tcPr>
            <w:tcW w:w="1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214</w:t>
            </w:r>
          </w:p>
        </w:tc>
        <w:tc>
          <w:tcPr>
            <w:tcW w:w="64" w:type="dxa"/>
            <w:tcBorders/>
            <w:shd w:fill="CCEEFF" w:val="clear"/>
            <w:vAlign w:val="bottom"/>
          </w:tcPr>
          <w:p>
            <w:pPr>
              <w:pStyle w:val="TableContents"/>
              <w:bidi w:val="0"/>
              <w:spacing w:before="0" w:after="283"/>
              <w:jc w:val="left"/>
              <w:rPr/>
            </w:pPr>
            <w:r>
              <w:rPr/>
              <w:t> </w:t>
            </w:r>
          </w:p>
        </w:tc>
      </w:tr>
      <w:tr>
        <w:trPr/>
        <w:tc>
          <w:tcPr>
            <w:tcW w:w="425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374"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374"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March 31, 2025, the Companys operating leases had a weighted average remaining lease term of 3.1 years and a weighted average discount rate related to the Companys right-of-use (ROU) assets and lease liabilities of 10.0%. As of December 31, 2024, the Companys operating leases had a weighted average remaining lease term of 3.2 years and a weighted average discount rate related to the Companys right-of-use assets and lease liabilities of 9.9%. </w:t>
      </w:r>
    </w:p>
    <w:p>
      <w:pPr>
        <w:pStyle w:val="TextBody"/>
        <w:bidi w:val="0"/>
        <w:spacing w:before="120" w:after="0"/>
        <w:jc w:val="left"/>
        <w:rPr>
          <w:rFonts w:ascii="Times New Roman" w:hAnsi="Times New Roman"/>
          <w:sz w:val="20"/>
        </w:rPr>
      </w:pPr>
      <w:r>
        <w:rPr>
          <w:rFonts w:ascii="Times New Roman" w:hAnsi="Times New Roman"/>
          <w:sz w:val="20"/>
        </w:rPr>
        <w:t xml:space="preserve">Supplemental information related to operating leases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2"/>
        <w:gridCol w:w="464"/>
        <w:gridCol w:w="374"/>
        <w:gridCol w:w="1022"/>
        <w:gridCol w:w="160"/>
        <w:gridCol w:w="652"/>
        <w:gridCol w:w="374"/>
        <w:gridCol w:w="1024"/>
        <w:gridCol w:w="63"/>
      </w:tblGrid>
      <w:tr>
        <w:trPr/>
        <w:tc>
          <w:tcPr>
            <w:tcW w:w="3622"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52"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22"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36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3" w:type="dxa"/>
            <w:tcBorders/>
            <w:vAlign w:val="bottom"/>
          </w:tcPr>
          <w:p>
            <w:pPr>
              <w:pStyle w:val="TableContents"/>
              <w:bidi w:val="0"/>
              <w:spacing w:before="0" w:after="283"/>
              <w:jc w:val="left"/>
              <w:rPr/>
            </w:pPr>
            <w:r>
              <w:rPr/>
              <w:t> </w:t>
            </w:r>
          </w:p>
        </w:tc>
      </w:tr>
      <w:tr>
        <w:trPr/>
        <w:tc>
          <w:tcPr>
            <w:tcW w:w="3622" w:type="dxa"/>
            <w:tcBorders/>
            <w:vAlign w:val="bottom"/>
          </w:tcPr>
          <w:p>
            <w:pPr>
              <w:pStyle w:val="TableContents"/>
              <w:bidi w:val="0"/>
              <w:spacing w:before="0" w:after="283"/>
              <w:jc w:val="left"/>
              <w:rPr>
                <w:i/>
              </w:rPr>
            </w:pPr>
            <w:r>
              <w:rPr>
                <w:i/>
              </w:rPr>
              <w:t>(Amounts in thousands)</w:t>
            </w:r>
          </w:p>
        </w:tc>
        <w:tc>
          <w:tcPr>
            <w:tcW w:w="464" w:type="dxa"/>
            <w:tcBorders/>
            <w:vAlign w:val="bottom"/>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3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operating lease liabilities</w:t>
            </w:r>
          </w:p>
        </w:tc>
        <w:tc>
          <w:tcPr>
            <w:tcW w:w="464"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202</w:t>
            </w:r>
          </w:p>
        </w:tc>
        <w:tc>
          <w:tcPr>
            <w:tcW w:w="160"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024" w:type="dxa"/>
            <w:tcBorders/>
            <w:shd w:fill="CCEEFF" w:val="clear"/>
            <w:vAlign w:val="bottom"/>
          </w:tcPr>
          <w:p>
            <w:pPr>
              <w:pStyle w:val="TableContents"/>
              <w:bidi w:val="0"/>
              <w:spacing w:before="0" w:after="283"/>
              <w:jc w:val="right"/>
              <w:rPr/>
            </w:pPr>
            <w:r>
              <w:rPr/>
              <w:t>192</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Future minimum lease payments under the Companys non-cancelable operating leases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51"/>
        <w:gridCol w:w="715"/>
        <w:gridCol w:w="443"/>
        <w:gridCol w:w="1772"/>
        <w:gridCol w:w="158"/>
      </w:tblGrid>
      <w:tr>
        <w:trPr/>
        <w:tc>
          <w:tcPr>
            <w:tcW w:w="3851" w:type="dxa"/>
            <w:tcBorders/>
            <w:vAlign w:val="center"/>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283"/>
              <w:jc w:val="left"/>
              <w:rPr>
                <w:i/>
              </w:rPr>
            </w:pPr>
            <w:r>
              <w:rPr>
                <w:i/>
              </w:rPr>
              <w:t xml:space="preserve">(Amounts in thousands) </w:t>
            </w:r>
          </w:p>
        </w:tc>
        <w:tc>
          <w:tcPr>
            <w:tcW w:w="715" w:type="dxa"/>
            <w:tcBorders/>
            <w:vAlign w:val="bottom"/>
          </w:tcPr>
          <w:p>
            <w:pPr>
              <w:pStyle w:val="TableContents"/>
              <w:bidi w:val="0"/>
              <w:spacing w:before="0" w:after="283"/>
              <w:jc w:val="left"/>
              <w:rPr/>
            </w:pPr>
            <w:r>
              <w:rPr/>
              <w:t>  </w:t>
            </w:r>
          </w:p>
        </w:tc>
        <w:tc>
          <w:tcPr>
            <w:tcW w:w="22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March 31, 2025</w:t>
            </w:r>
          </w:p>
        </w:tc>
        <w:tc>
          <w:tcPr>
            <w:tcW w:w="158" w:type="dxa"/>
            <w:tcBorders/>
            <w:vAlign w:val="bottom"/>
          </w:tcPr>
          <w:p>
            <w:pPr>
              <w:pStyle w:val="TableContents"/>
              <w:bidi w:val="0"/>
              <w:spacing w:before="0" w:after="283"/>
              <w:jc w:val="left"/>
              <w:rPr/>
            </w:pPr>
            <w:r>
              <w:rPr/>
              <w:t> </w:t>
            </w:r>
          </w:p>
        </w:tc>
      </w:tr>
      <w:tr>
        <w:trPr/>
        <w:tc>
          <w:tcPr>
            <w:tcW w:w="3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71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w:t>
            </w:r>
          </w:p>
        </w:tc>
        <w:tc>
          <w:tcPr>
            <w:tcW w:w="1772" w:type="dxa"/>
            <w:tcBorders/>
            <w:shd w:fill="CCEEFF" w:val="clear"/>
            <w:vAlign w:val="bottom"/>
          </w:tcPr>
          <w:p>
            <w:pPr>
              <w:pStyle w:val="TableContents"/>
              <w:bidi w:val="0"/>
              <w:spacing w:before="0" w:after="283"/>
              <w:jc w:val="right"/>
              <w:rPr/>
            </w:pPr>
            <w:r>
              <w:rPr/>
              <w:t>526</w:t>
            </w:r>
          </w:p>
        </w:tc>
        <w:tc>
          <w:tcPr>
            <w:tcW w:w="158" w:type="dxa"/>
            <w:tcBorders/>
            <w:shd w:fill="CCEEFF" w:val="clear"/>
            <w:vAlign w:val="bottom"/>
          </w:tcPr>
          <w:p>
            <w:pPr>
              <w:pStyle w:val="TableContents"/>
              <w:bidi w:val="0"/>
              <w:spacing w:before="0" w:after="283"/>
              <w:jc w:val="left"/>
              <w:rPr/>
            </w:pPr>
            <w:r>
              <w:rPr/>
              <w:t> </w:t>
            </w:r>
          </w:p>
        </w:tc>
      </w:tr>
      <w:tr>
        <w:trPr/>
        <w:tc>
          <w:tcPr>
            <w:tcW w:w="3851"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71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544</w:t>
            </w:r>
          </w:p>
        </w:tc>
        <w:tc>
          <w:tcPr>
            <w:tcW w:w="158" w:type="dxa"/>
            <w:tcBorders/>
            <w:vAlign w:val="bottom"/>
          </w:tcPr>
          <w:p>
            <w:pPr>
              <w:pStyle w:val="TableContents"/>
              <w:bidi w:val="0"/>
              <w:spacing w:before="0" w:after="283"/>
              <w:jc w:val="left"/>
              <w:rPr/>
            </w:pPr>
            <w:r>
              <w:rPr/>
              <w:t> </w:t>
            </w:r>
          </w:p>
        </w:tc>
      </w:tr>
      <w:tr>
        <w:trPr/>
        <w:tc>
          <w:tcPr>
            <w:tcW w:w="3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71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431</w:t>
            </w:r>
          </w:p>
        </w:tc>
        <w:tc>
          <w:tcPr>
            <w:tcW w:w="158" w:type="dxa"/>
            <w:tcBorders/>
            <w:shd w:fill="CCEEFF" w:val="clear"/>
            <w:vAlign w:val="bottom"/>
          </w:tcPr>
          <w:p>
            <w:pPr>
              <w:pStyle w:val="TableContents"/>
              <w:bidi w:val="0"/>
              <w:spacing w:before="0" w:after="283"/>
              <w:jc w:val="left"/>
              <w:rPr/>
            </w:pPr>
            <w:r>
              <w:rPr/>
              <w:t> </w:t>
            </w:r>
          </w:p>
        </w:tc>
      </w:tr>
      <w:tr>
        <w:trPr/>
        <w:tc>
          <w:tcPr>
            <w:tcW w:w="3851"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71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366</w:t>
            </w:r>
          </w:p>
        </w:tc>
        <w:tc>
          <w:tcPr>
            <w:tcW w:w="158" w:type="dxa"/>
            <w:tcBorders/>
            <w:vAlign w:val="bottom"/>
          </w:tcPr>
          <w:p>
            <w:pPr>
              <w:pStyle w:val="TableContents"/>
              <w:bidi w:val="0"/>
              <w:spacing w:before="0" w:after="283"/>
              <w:jc w:val="left"/>
              <w:rPr/>
            </w:pPr>
            <w:r>
              <w:rPr/>
              <w:t> </w:t>
            </w:r>
          </w:p>
        </w:tc>
      </w:tr>
      <w:tr>
        <w:trPr/>
        <w:tc>
          <w:tcPr>
            <w:tcW w:w="3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71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15</w:t>
            </w:r>
          </w:p>
        </w:tc>
        <w:tc>
          <w:tcPr>
            <w:tcW w:w="158" w:type="dxa"/>
            <w:tcBorders/>
            <w:shd w:fill="CCEEFF" w:val="clear"/>
            <w:vAlign w:val="bottom"/>
          </w:tcPr>
          <w:p>
            <w:pPr>
              <w:pStyle w:val="TableContents"/>
              <w:bidi w:val="0"/>
              <w:spacing w:before="0" w:after="283"/>
              <w:jc w:val="left"/>
              <w:rPr/>
            </w:pPr>
            <w:r>
              <w:rPr/>
              <w:t> </w:t>
            </w:r>
          </w:p>
        </w:tc>
      </w:tr>
      <w:tr>
        <w:trPr/>
        <w:tc>
          <w:tcPr>
            <w:tcW w:w="3851"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pPr>
            <w:r>
              <w:rPr/>
              <w:t>  </w:t>
            </w:r>
          </w:p>
        </w:tc>
        <w:tc>
          <w:tcPr>
            <w:tcW w:w="443" w:type="dxa"/>
            <w:tcBorders/>
            <w:vAlign w:val="bottom"/>
          </w:tcPr>
          <w:p>
            <w:pPr>
              <w:pStyle w:val="TableContents"/>
              <w:pBdr>
                <w:top w:val="single" w:sz="2" w:space="1" w:color="000000"/>
              </w:pBdr>
              <w:bidi w:val="0"/>
              <w:spacing w:before="0" w:after="0"/>
              <w:jc w:val="left"/>
              <w:rPr/>
            </w:pPr>
            <w:r>
              <w:rPr/>
              <w:t> </w:t>
            </w:r>
          </w:p>
        </w:tc>
        <w:tc>
          <w:tcPr>
            <w:tcW w:w="177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51" w:type="dxa"/>
            <w:tcBorders/>
          </w:tcPr>
          <w:p>
            <w:pPr>
              <w:pStyle w:val="TableContents"/>
              <w:bidi w:val="0"/>
              <w:spacing w:before="0" w:after="0"/>
              <w:jc w:val="left"/>
              <w:rPr>
                <w:rFonts w:ascii="Times New Roman" w:hAnsi="Times New Roman"/>
                <w:sz w:val="20"/>
              </w:rPr>
            </w:pPr>
            <w:r>
              <w:rPr>
                <w:rFonts w:ascii="Times New Roman" w:hAnsi="Times New Roman"/>
                <w:sz w:val="20"/>
              </w:rPr>
              <w:t>Total future lease payments</w:t>
            </w:r>
          </w:p>
        </w:tc>
        <w:tc>
          <w:tcPr>
            <w:tcW w:w="71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1,882</w:t>
            </w:r>
          </w:p>
        </w:tc>
        <w:tc>
          <w:tcPr>
            <w:tcW w:w="158" w:type="dxa"/>
            <w:tcBorders/>
            <w:vAlign w:val="bottom"/>
          </w:tcPr>
          <w:p>
            <w:pPr>
              <w:pStyle w:val="TableContents"/>
              <w:bidi w:val="0"/>
              <w:spacing w:before="0" w:after="283"/>
              <w:jc w:val="left"/>
              <w:rPr/>
            </w:pPr>
            <w:r>
              <w:rPr/>
              <w:t> </w:t>
            </w:r>
          </w:p>
        </w:tc>
      </w:tr>
      <w:tr>
        <w:trPr/>
        <w:tc>
          <w:tcPr>
            <w:tcW w:w="3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71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(290</w:t>
            </w:r>
          </w:p>
        </w:tc>
        <w:tc>
          <w:tcPr>
            <w:tcW w:w="158" w:type="dxa"/>
            <w:tcBorders/>
            <w:shd w:fill="CCEEFF" w:val="clear"/>
            <w:vAlign w:val="bottom"/>
          </w:tcPr>
          <w:p>
            <w:pPr>
              <w:pStyle w:val="TableContents"/>
              <w:bidi w:val="0"/>
              <w:spacing w:before="0" w:after="283"/>
              <w:jc w:val="left"/>
              <w:rPr/>
            </w:pPr>
            <w:r>
              <w:rPr/>
              <w:t>) </w:t>
            </w:r>
          </w:p>
        </w:tc>
      </w:tr>
      <w:tr>
        <w:trPr/>
        <w:tc>
          <w:tcPr>
            <w:tcW w:w="3851"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pPr>
            <w:r>
              <w:rPr/>
              <w:t>  </w:t>
            </w:r>
          </w:p>
        </w:tc>
        <w:tc>
          <w:tcPr>
            <w:tcW w:w="443" w:type="dxa"/>
            <w:tcBorders/>
            <w:vAlign w:val="bottom"/>
          </w:tcPr>
          <w:p>
            <w:pPr>
              <w:pStyle w:val="TableContents"/>
              <w:pBdr>
                <w:top w:val="single" w:sz="2" w:space="1" w:color="000000"/>
              </w:pBdr>
              <w:bidi w:val="0"/>
              <w:spacing w:before="0" w:after="0"/>
              <w:jc w:val="left"/>
              <w:rPr/>
            </w:pPr>
            <w:r>
              <w:rPr/>
              <w:t> </w:t>
            </w:r>
          </w:p>
        </w:tc>
        <w:tc>
          <w:tcPr>
            <w:tcW w:w="177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51" w:type="dxa"/>
            <w:tcBorders/>
          </w:tcPr>
          <w:p>
            <w:pPr>
              <w:pStyle w:val="TableContents"/>
              <w:bidi w:val="0"/>
              <w:spacing w:before="0" w:after="0"/>
              <w:jc w:val="left"/>
              <w:rPr>
                <w:rFonts w:ascii="Times New Roman" w:hAnsi="Times New Roman"/>
                <w:sz w:val="20"/>
              </w:rPr>
            </w:pPr>
            <w:r>
              <w:rPr>
                <w:rFonts w:ascii="Times New Roman" w:hAnsi="Times New Roman"/>
                <w:sz w:val="20"/>
              </w:rPr>
              <w:t>Present value of net future minimum lease payments</w:t>
            </w:r>
          </w:p>
        </w:tc>
        <w:tc>
          <w:tcPr>
            <w:tcW w:w="71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1,592</w:t>
            </w:r>
          </w:p>
        </w:tc>
        <w:tc>
          <w:tcPr>
            <w:tcW w:w="158" w:type="dxa"/>
            <w:tcBorders/>
            <w:vAlign w:val="bottom"/>
          </w:tcPr>
          <w:p>
            <w:pPr>
              <w:pStyle w:val="TableContents"/>
              <w:bidi w:val="0"/>
              <w:spacing w:before="0" w:after="283"/>
              <w:jc w:val="left"/>
              <w:rPr/>
            </w:pPr>
            <w:r>
              <w:rPr/>
              <w:t> </w:t>
            </w:r>
          </w:p>
        </w:tc>
      </w:tr>
      <w:tr>
        <w:trPr/>
        <w:tc>
          <w:tcPr>
            <w:tcW w:w="3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Operating lease liabilities, current</w:t>
            </w:r>
          </w:p>
        </w:tc>
        <w:tc>
          <w:tcPr>
            <w:tcW w:w="71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(542</w:t>
            </w:r>
          </w:p>
        </w:tc>
        <w:tc>
          <w:tcPr>
            <w:tcW w:w="158" w:type="dxa"/>
            <w:tcBorders/>
            <w:shd w:fill="CCEEFF" w:val="clear"/>
            <w:vAlign w:val="bottom"/>
          </w:tcPr>
          <w:p>
            <w:pPr>
              <w:pStyle w:val="TableContents"/>
              <w:bidi w:val="0"/>
              <w:spacing w:before="0" w:after="283"/>
              <w:jc w:val="left"/>
              <w:rPr/>
            </w:pPr>
            <w:r>
              <w:rPr/>
              <w:t>) </w:t>
            </w:r>
          </w:p>
        </w:tc>
      </w:tr>
      <w:tr>
        <w:trPr/>
        <w:tc>
          <w:tcPr>
            <w:tcW w:w="3851"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pPr>
            <w:r>
              <w:rPr/>
              <w:t>  </w:t>
            </w:r>
          </w:p>
        </w:tc>
        <w:tc>
          <w:tcPr>
            <w:tcW w:w="443" w:type="dxa"/>
            <w:tcBorders/>
            <w:vAlign w:val="bottom"/>
          </w:tcPr>
          <w:p>
            <w:pPr>
              <w:pStyle w:val="TableContents"/>
              <w:pBdr>
                <w:top w:val="single" w:sz="2" w:space="1" w:color="000000"/>
              </w:pBdr>
              <w:bidi w:val="0"/>
              <w:spacing w:before="0" w:after="0"/>
              <w:jc w:val="left"/>
              <w:rPr/>
            </w:pPr>
            <w:r>
              <w:rPr/>
              <w:t> </w:t>
            </w:r>
          </w:p>
        </w:tc>
        <w:tc>
          <w:tcPr>
            <w:tcW w:w="177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5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lease liabilities, non-current</w:t>
            </w:r>
          </w:p>
        </w:tc>
        <w:tc>
          <w:tcPr>
            <w:tcW w:w="71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w:t>
            </w:r>
          </w:p>
        </w:tc>
        <w:tc>
          <w:tcPr>
            <w:tcW w:w="1772" w:type="dxa"/>
            <w:tcBorders/>
            <w:vAlign w:val="bottom"/>
          </w:tcPr>
          <w:p>
            <w:pPr>
              <w:pStyle w:val="TableContents"/>
              <w:bidi w:val="0"/>
              <w:spacing w:before="0" w:after="283"/>
              <w:jc w:val="right"/>
              <w:rPr/>
            </w:pPr>
            <w:r>
              <w:rPr/>
              <w:t>1,050</w:t>
            </w:r>
          </w:p>
        </w:tc>
        <w:tc>
          <w:tcPr>
            <w:tcW w:w="158" w:type="dxa"/>
            <w:tcBorders/>
            <w:vAlign w:val="bottom"/>
          </w:tcPr>
          <w:p>
            <w:pPr>
              <w:pStyle w:val="TableContents"/>
              <w:bidi w:val="0"/>
              <w:spacing w:before="0" w:after="283"/>
              <w:jc w:val="left"/>
              <w:rPr/>
            </w:pPr>
            <w:r>
              <w:rPr/>
              <w:t> </w:t>
            </w:r>
          </w:p>
        </w:tc>
      </w:tr>
      <w:tr>
        <w:trPr/>
        <w:tc>
          <w:tcPr>
            <w:tcW w:w="3851"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pPr>
            <w:r>
              <w:rPr/>
              <w:t>  </w:t>
            </w:r>
          </w:p>
        </w:tc>
        <w:tc>
          <w:tcPr>
            <w:tcW w:w="443" w:type="dxa"/>
            <w:tcBorders/>
            <w:vAlign w:val="bottom"/>
          </w:tcPr>
          <w:p>
            <w:pPr>
              <w:pStyle w:val="TableContents"/>
              <w:pBdr>
                <w:top w:val="double" w:sz="6" w:space="1" w:color="000000"/>
              </w:pBdr>
              <w:bidi w:val="0"/>
              <w:spacing w:before="0" w:after="0"/>
              <w:jc w:val="left"/>
              <w:rPr/>
            </w:pPr>
            <w:r>
              <w:rPr/>
              <w:t> </w:t>
            </w:r>
          </w:p>
        </w:tc>
        <w:tc>
          <w:tcPr>
            <w:tcW w:w="177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11. Redeemable Convertible Preferred Stock Prior to the Merger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Merger, the redeemable convertible preferred stock that was outstanding at the time of the Merger was converted into shares of common stock (see Note 3). </w:t>
      </w:r>
    </w:p>
    <w:p>
      <w:pPr>
        <w:pStyle w:val="TextBody"/>
        <w:bidi w:val="0"/>
        <w:spacing w:before="360" w:after="0"/>
        <w:jc w:val="left"/>
        <w:rPr>
          <w:rFonts w:ascii="Times New Roman" w:hAnsi="Times New Roman"/>
          <w:b/>
          <w:sz w:val="20"/>
        </w:rPr>
      </w:pPr>
      <w:r>
        <w:rPr>
          <w:rFonts w:ascii="Times New Roman" w:hAnsi="Times New Roman"/>
          <w:b/>
          <w:sz w:val="20"/>
        </w:rPr>
        <w:t xml:space="preserve">Note 12.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and December 31, 2024, there were 600,000,000 and 136,562,809 shares of common stock authorized, respectively, and 98,818,874 and 48,376,052 shares issued and outstanding,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Common stock reserved for issuance is as follow: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80"/>
        <w:gridCol w:w="150"/>
        <w:gridCol w:w="82"/>
        <w:gridCol w:w="1524"/>
        <w:gridCol w:w="60"/>
        <w:gridCol w:w="150"/>
        <w:gridCol w:w="100"/>
        <w:gridCol w:w="1846"/>
        <w:gridCol w:w="63"/>
      </w:tblGrid>
      <w:tr>
        <w:trPr/>
        <w:tc>
          <w:tcPr>
            <w:tcW w:w="378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06" w:type="dxa"/>
            <w:gridSpan w:val="2"/>
            <w:tcBorders/>
            <w:vAlign w:val="bottom"/>
          </w:tcPr>
          <w:p>
            <w:pPr>
              <w:pStyle w:val="TableContents"/>
              <w:bidi w:val="0"/>
              <w:spacing w:before="0" w:after="283"/>
              <w:jc w:val="center"/>
              <w:rPr>
                <w:b/>
              </w:rPr>
            </w:pPr>
            <w:r>
              <w:rPr>
                <w:b/>
              </w:rPr>
              <w:t>As of March 31,</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46" w:type="dxa"/>
            <w:gridSpan w:val="2"/>
            <w:tcBorders/>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warrants</w:t>
            </w:r>
          </w:p>
        </w:tc>
        <w:tc>
          <w:tcPr>
            <w:tcW w:w="15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28,750,000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84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Private warrants</w:t>
            </w:r>
          </w:p>
        </w:tc>
        <w:tc>
          <w:tcPr>
            <w:tcW w:w="15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898,250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84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5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84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Earnout shares</w:t>
            </w:r>
          </w:p>
        </w:tc>
        <w:tc>
          <w:tcPr>
            <w:tcW w:w="15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2,854,242</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84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Incentive stock options and restricted stock units</w:t>
            </w:r>
          </w:p>
        </w:tc>
        <w:tc>
          <w:tcPr>
            <w:tcW w:w="15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29,192,959</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846" w:type="dxa"/>
            <w:tcBorders/>
            <w:shd w:fill="CCEEFF" w:val="clear"/>
            <w:vAlign w:val="bottom"/>
          </w:tcPr>
          <w:p>
            <w:pPr>
              <w:pStyle w:val="TableContents"/>
              <w:bidi w:val="0"/>
              <w:spacing w:before="0" w:after="283"/>
              <w:jc w:val="right"/>
              <w:rPr/>
            </w:pPr>
            <w:r>
              <w:rPr/>
              <w:t>31,991,752</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Equity awards available for future issuance</w:t>
            </w:r>
          </w:p>
        </w:tc>
        <w:tc>
          <w:tcPr>
            <w:tcW w:w="15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23,942</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846" w:type="dxa"/>
            <w:tcBorders/>
            <w:vAlign w:val="bottom"/>
          </w:tcPr>
          <w:p>
            <w:pPr>
              <w:pStyle w:val="TableContents"/>
              <w:bidi w:val="0"/>
              <w:spacing w:before="0" w:after="283"/>
              <w:jc w:val="right"/>
              <w:rPr/>
            </w:pPr>
            <w:r>
              <w:rPr/>
              <w:t>1,736,686</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5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84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common stock reserved for issuance</w:t>
            </w:r>
          </w:p>
        </w:tc>
        <w:tc>
          <w:tcPr>
            <w:tcW w:w="15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61,769,393</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846" w:type="dxa"/>
            <w:tcBorders/>
            <w:shd w:fill="CCEEFF" w:val="clear"/>
            <w:vAlign w:val="bottom"/>
          </w:tcPr>
          <w:p>
            <w:pPr>
              <w:pStyle w:val="TableContents"/>
              <w:bidi w:val="0"/>
              <w:spacing w:before="0" w:after="283"/>
              <w:jc w:val="right"/>
              <w:rPr/>
            </w:pPr>
            <w:r>
              <w:rPr/>
              <w:t>33,728,438</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15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184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periods prior to the Merger, the reported share and per share amounts have been retroactively converted by applying the exchange ratio. </w:t>
      </w:r>
    </w:p>
    <w:p>
      <w:pPr>
        <w:pStyle w:val="TextBody"/>
        <w:bidi w:val="0"/>
        <w:spacing w:before="360" w:after="0"/>
        <w:jc w:val="left"/>
        <w:rPr>
          <w:rFonts w:ascii="Times New Roman" w:hAnsi="Times New Roman"/>
          <w:b/>
          <w:sz w:val="20"/>
        </w:rPr>
      </w:pPr>
      <w:r>
        <w:rPr>
          <w:rFonts w:ascii="Times New Roman" w:hAnsi="Times New Roman"/>
          <w:b/>
          <w:sz w:val="20"/>
        </w:rPr>
        <w:t xml:space="preserve">Note 13.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recorded stock-based compensation expense for stock options and RSUs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42"/>
        <w:gridCol w:w="148"/>
        <w:gridCol w:w="300"/>
        <w:gridCol w:w="1472"/>
        <w:gridCol w:w="128"/>
        <w:gridCol w:w="281"/>
        <w:gridCol w:w="300"/>
        <w:gridCol w:w="820"/>
        <w:gridCol w:w="64"/>
      </w:tblGrid>
      <w:tr>
        <w:trPr/>
        <w:tc>
          <w:tcPr>
            <w:tcW w:w="4242"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4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33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4" w:type="dxa"/>
            <w:tcBorders/>
            <w:vAlign w:val="bottom"/>
          </w:tcPr>
          <w:p>
            <w:pPr>
              <w:pStyle w:val="TableContents"/>
              <w:bidi w:val="0"/>
              <w:spacing w:before="0" w:after="283"/>
              <w:jc w:val="left"/>
              <w:rPr/>
            </w:pPr>
            <w:r>
              <w:rPr/>
              <w:t> </w:t>
            </w:r>
          </w:p>
        </w:tc>
      </w:tr>
      <w:tr>
        <w:trPr/>
        <w:tc>
          <w:tcPr>
            <w:tcW w:w="4242" w:type="dxa"/>
            <w:tcBorders/>
            <w:vAlign w:val="bottom"/>
          </w:tcPr>
          <w:p>
            <w:pPr>
              <w:pStyle w:val="TableContents"/>
              <w:bidi w:val="0"/>
              <w:spacing w:before="0" w:after="283"/>
              <w:jc w:val="left"/>
              <w:rPr>
                <w:i/>
              </w:rPr>
            </w:pPr>
            <w:r>
              <w:rPr>
                <w:i/>
              </w:rPr>
              <w:t>(Amounts in thousands)</w:t>
            </w:r>
          </w:p>
        </w:tc>
        <w:tc>
          <w:tcPr>
            <w:tcW w:w="148" w:type="dxa"/>
            <w:tcBorders/>
            <w:vAlign w:val="bottom"/>
          </w:tcPr>
          <w:p>
            <w:pPr>
              <w:pStyle w:val="TableContents"/>
              <w:bidi w:val="0"/>
              <w:spacing w:before="0" w:after="283"/>
              <w:jc w:val="left"/>
              <w:rPr/>
            </w:pPr>
            <w:r>
              <w:rPr/>
              <w:t>  </w:t>
            </w:r>
          </w:p>
        </w:tc>
        <w:tc>
          <w:tcPr>
            <w:tcW w:w="17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2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4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4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472" w:type="dxa"/>
            <w:tcBorders/>
            <w:shd w:fill="CCEEFF" w:val="clear"/>
            <w:vAlign w:val="bottom"/>
          </w:tcPr>
          <w:p>
            <w:pPr>
              <w:pStyle w:val="TableContents"/>
              <w:bidi w:val="0"/>
              <w:spacing w:before="0" w:after="283"/>
              <w:jc w:val="right"/>
              <w:rPr/>
            </w:pPr>
            <w:r>
              <w:rPr/>
              <w:t>5,975</w:t>
            </w:r>
          </w:p>
        </w:tc>
        <w:tc>
          <w:tcPr>
            <w:tcW w:w="12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180</w:t>
            </w:r>
          </w:p>
        </w:tc>
        <w:tc>
          <w:tcPr>
            <w:tcW w:w="64" w:type="dxa"/>
            <w:tcBorders/>
            <w:shd w:fill="CCEEFF" w:val="clear"/>
            <w:vAlign w:val="bottom"/>
          </w:tcPr>
          <w:p>
            <w:pPr>
              <w:pStyle w:val="TableContents"/>
              <w:bidi w:val="0"/>
              <w:spacing w:before="0" w:after="283"/>
              <w:jc w:val="left"/>
              <w:rPr/>
            </w:pPr>
            <w:r>
              <w:rPr/>
              <w:t> </w:t>
            </w:r>
          </w:p>
        </w:tc>
      </w:tr>
      <w:tr>
        <w:trPr/>
        <w:tc>
          <w:tcPr>
            <w:tcW w:w="424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4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5,065</w:t>
            </w:r>
          </w:p>
        </w:tc>
        <w:tc>
          <w:tcPr>
            <w:tcW w:w="12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157</w:t>
            </w:r>
          </w:p>
        </w:tc>
        <w:tc>
          <w:tcPr>
            <w:tcW w:w="64" w:type="dxa"/>
            <w:tcBorders/>
            <w:vAlign w:val="bottom"/>
          </w:tcPr>
          <w:p>
            <w:pPr>
              <w:pStyle w:val="TableContents"/>
              <w:bidi w:val="0"/>
              <w:spacing w:before="0" w:after="283"/>
              <w:jc w:val="left"/>
              <w:rPr/>
            </w:pPr>
            <w:r>
              <w:rPr/>
              <w:t> </w:t>
            </w:r>
          </w:p>
        </w:tc>
      </w:tr>
      <w:tr>
        <w:trPr/>
        <w:tc>
          <w:tcPr>
            <w:tcW w:w="4242"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28"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4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472" w:type="dxa"/>
            <w:tcBorders/>
            <w:shd w:fill="CCEEFF" w:val="clear"/>
            <w:vAlign w:val="bottom"/>
          </w:tcPr>
          <w:p>
            <w:pPr>
              <w:pStyle w:val="TableContents"/>
              <w:bidi w:val="0"/>
              <w:spacing w:before="0" w:after="283"/>
              <w:jc w:val="right"/>
              <w:rPr/>
            </w:pPr>
            <w:r>
              <w:rPr/>
              <w:t>11,040</w:t>
            </w:r>
          </w:p>
        </w:tc>
        <w:tc>
          <w:tcPr>
            <w:tcW w:w="12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337</w:t>
            </w:r>
          </w:p>
        </w:tc>
        <w:tc>
          <w:tcPr>
            <w:tcW w:w="64" w:type="dxa"/>
            <w:tcBorders/>
            <w:shd w:fill="CCEEFF" w:val="clear"/>
            <w:vAlign w:val="bottom"/>
          </w:tcPr>
          <w:p>
            <w:pPr>
              <w:pStyle w:val="TableContents"/>
              <w:bidi w:val="0"/>
              <w:spacing w:before="0" w:after="283"/>
              <w:jc w:val="left"/>
              <w:rPr/>
            </w:pPr>
            <w:r>
              <w:rPr/>
              <w:t> </w:t>
            </w:r>
          </w:p>
        </w:tc>
      </w:tr>
      <w:tr>
        <w:trPr/>
        <w:tc>
          <w:tcPr>
            <w:tcW w:w="4242"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1472" w:type="dxa"/>
            <w:tcBorders/>
            <w:vAlign w:val="bottom"/>
          </w:tcPr>
          <w:p>
            <w:pPr>
              <w:pStyle w:val="TableContents"/>
              <w:pBdr>
                <w:top w:val="double" w:sz="6" w:space="1" w:color="000000"/>
              </w:pBdr>
              <w:bidi w:val="0"/>
              <w:spacing w:before="0" w:after="0"/>
              <w:jc w:val="left"/>
              <w:rPr/>
            </w:pPr>
            <w:r>
              <w:rPr/>
              <w:t> </w:t>
            </w:r>
          </w:p>
        </w:tc>
        <w:tc>
          <w:tcPr>
            <w:tcW w:w="128"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Equity Award Plans </w:t>
      </w:r>
    </w:p>
    <w:p>
      <w:pPr>
        <w:pStyle w:val="TextBody"/>
        <w:bidi w:val="0"/>
        <w:spacing w:before="120" w:after="0"/>
        <w:jc w:val="left"/>
        <w:rPr>
          <w:rFonts w:ascii="Times New Roman" w:hAnsi="Times New Roman"/>
          <w:sz w:val="20"/>
        </w:rPr>
      </w:pPr>
      <w:r>
        <w:rPr>
          <w:rFonts w:ascii="Times New Roman" w:hAnsi="Times New Roman"/>
          <w:sz w:val="20"/>
        </w:rPr>
        <w:t xml:space="preserve">In January 2025, the Companys board of directors approved, and the Company adopted the 2025 Incentive Award Plan (the 2025 Incentive Plan), replacing the historical 2011 Amended Stock Plan. The 2025 Incentive Plan became effective on January 13, 2025. The 2025 Incentive Plan provides for the grant of stock options (both incentive stock options and non-qualified stock options), stock appreciation rights, restricted stock, RSUs and other stock or cash based awards to employees and consultants of the Company and its subsidiaries and members of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Under the 2025 Incentive Plan, stock options, including incentive stock options (ISOs), may be granted to employees at exercise prices not lower than the fair value of the stock as of the date of grant. For ISOs granted to a person whom, at the time of the grant, owns stock representing more than 10% of the total combined voting power of all classes of our stock, the per share exercise price must be no less than 110% of the fair value on the date of the grant as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compensation expense for service-based options on a straight-line basis over the requisite service period of all employees or non-employees, which is the awards vesting term, generally over four years. The Company accounts for forfeitures when they occur. </w:t>
      </w:r>
    </w:p>
    <w:p>
      <w:pPr>
        <w:pStyle w:val="TextBody"/>
        <w:bidi w:val="0"/>
        <w:spacing w:before="240" w:after="0"/>
        <w:jc w:val="left"/>
        <w:rPr>
          <w:rFonts w:ascii="Times New Roman" w:hAnsi="Times New Roman"/>
          <w:sz w:val="20"/>
        </w:rPr>
      </w:pPr>
      <w:r>
        <w:rPr>
          <w:rFonts w:ascii="Times New Roman" w:hAnsi="Times New Roman"/>
          <w:sz w:val="20"/>
        </w:rPr>
        <w:t xml:space="preserve">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no equity awards have been granted under the 2025 Incentive Plan and 25,397,242 shares of common stock were reserved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effectiveness of the 2025 Incentive Plan, the Company ceased making grants under the 2011 Equity Incentive Plan (the 2011Amended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 </w:t>
      </w:r>
    </w:p>
    <w:p>
      <w:pPr>
        <w:pStyle w:val="TextBody"/>
        <w:bidi w:val="0"/>
        <w:spacing w:before="240" w:after="0"/>
        <w:jc w:val="left"/>
        <w:rPr>
          <w:rFonts w:ascii="Times New Roman" w:hAnsi="Times New Roman"/>
          <w:sz w:val="20"/>
        </w:rPr>
      </w:pPr>
      <w:r>
        <w:rPr>
          <w:rFonts w:ascii="Times New Roman" w:hAnsi="Times New Roman"/>
          <w:sz w:val="20"/>
        </w:rPr>
        <w:t xml:space="preserve">Under the 2011 Amended Plan, we issued RSUs, which vested upon the satisfaction of both the service-based condition and a liquidity event condition. The liquidity event condition for the RSUs was satisfied upon the occurrence of a qualifying event, defined specifically in the equity documents, and generally refer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A summary of stock option activity under the 2011 Amended Plan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72"/>
        <w:gridCol w:w="289"/>
        <w:gridCol w:w="60"/>
        <w:gridCol w:w="1101"/>
        <w:gridCol w:w="155"/>
        <w:gridCol w:w="259"/>
        <w:gridCol w:w="336"/>
        <w:gridCol w:w="1055"/>
        <w:gridCol w:w="60"/>
        <w:gridCol w:w="289"/>
        <w:gridCol w:w="185"/>
        <w:gridCol w:w="999"/>
        <w:gridCol w:w="60"/>
        <w:gridCol w:w="288"/>
        <w:gridCol w:w="236"/>
        <w:gridCol w:w="1175"/>
        <w:gridCol w:w="69"/>
      </w:tblGrid>
      <w:tr>
        <w:trPr/>
        <w:tc>
          <w:tcPr>
            <w:tcW w:w="2772"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772"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Options</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w:t>
            </w:r>
            <w:r>
              <w:rPr/>
              <w:br/>
            </w:r>
            <w:r>
              <w:rPr>
                <w:b/>
              </w:rPr>
              <w:t>exercise price</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w:t>
            </w:r>
            <w:r>
              <w:rPr/>
              <w:br/>
            </w:r>
            <w:r>
              <w:rPr>
                <w:b/>
              </w:rPr>
              <w:t>remaining</w:t>
            </w:r>
            <w:r>
              <w:rPr/>
              <w:br/>
            </w:r>
            <w:r>
              <w:rPr>
                <w:b/>
              </w:rPr>
              <w:t>contractual</w:t>
            </w:r>
            <w:r>
              <w:rPr/>
              <w:br/>
            </w:r>
            <w:r>
              <w:rPr>
                <w:b/>
              </w:rPr>
              <w:t>life</w:t>
            </w:r>
            <w:r>
              <w:rPr/>
              <w:br/>
            </w:r>
            <w:r>
              <w:rPr>
                <w:b/>
              </w:rPr>
              <w:t>(in years)</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11"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intrinsic</w:t>
            </w:r>
            <w:r>
              <w:rPr/>
              <w:br/>
            </w:r>
            <w:r>
              <w:rPr>
                <w:b/>
              </w:rPr>
              <w:t>value</w:t>
            </w:r>
            <w:r>
              <w:rPr/>
              <w:br/>
            </w:r>
            <w:r>
              <w:rPr>
                <w:b/>
              </w:rPr>
              <w:t>(in thousands)</w:t>
            </w:r>
          </w:p>
        </w:tc>
        <w:tc>
          <w:tcPr>
            <w:tcW w:w="69" w:type="dxa"/>
            <w:tcBorders/>
            <w:vAlign w:val="bottom"/>
          </w:tcPr>
          <w:p>
            <w:pPr>
              <w:pStyle w:val="TableContents"/>
              <w:bidi w:val="0"/>
              <w:spacing w:before="0" w:after="283"/>
              <w:jc w:val="left"/>
              <w:rPr/>
            </w:pPr>
            <w:r>
              <w:rPr/>
              <w:t> </w:t>
            </w:r>
          </w:p>
        </w:tc>
      </w:tr>
      <w:tr>
        <w:trPr/>
        <w:tc>
          <w:tcPr>
            <w:tcW w:w="2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2024</w:t>
            </w:r>
          </w:p>
        </w:tc>
        <w:tc>
          <w:tcPr>
            <w:tcW w:w="2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28,360,635</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1.27</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9.2</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22,741</w:t>
            </w:r>
          </w:p>
        </w:tc>
        <w:tc>
          <w:tcPr>
            <w:tcW w:w="69" w:type="dxa"/>
            <w:tcBorders/>
            <w:shd w:fill="CCEEFF" w:val="clear"/>
            <w:vAlign w:val="bottom"/>
          </w:tcPr>
          <w:p>
            <w:pPr>
              <w:pStyle w:val="TableContents"/>
              <w:bidi w:val="0"/>
              <w:spacing w:before="0" w:after="283"/>
              <w:jc w:val="left"/>
              <w:rPr/>
            </w:pPr>
            <w:r>
              <w:rPr/>
              <w:t> </w:t>
            </w:r>
          </w:p>
        </w:tc>
      </w:tr>
      <w:tr>
        <w:trPr/>
        <w:tc>
          <w:tcPr>
            <w:tcW w:w="2772"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(318,400</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772"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36"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March 31, 2025</w:t>
            </w:r>
          </w:p>
        </w:tc>
        <w:tc>
          <w:tcPr>
            <w:tcW w:w="2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28,042,235</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1.27</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30,225</w:t>
            </w:r>
          </w:p>
        </w:tc>
        <w:tc>
          <w:tcPr>
            <w:tcW w:w="69" w:type="dxa"/>
            <w:tcBorders/>
            <w:shd w:fill="CCEEFF" w:val="clear"/>
            <w:vAlign w:val="bottom"/>
          </w:tcPr>
          <w:p>
            <w:pPr>
              <w:pStyle w:val="TableContents"/>
              <w:bidi w:val="0"/>
              <w:spacing w:before="0" w:after="283"/>
              <w:jc w:val="left"/>
              <w:rPr/>
            </w:pPr>
            <w:r>
              <w:rPr/>
              <w:t> </w:t>
            </w:r>
          </w:p>
        </w:tc>
      </w:tr>
      <w:tr>
        <w:trPr/>
        <w:tc>
          <w:tcPr>
            <w:tcW w:w="2772"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36"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772"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as of March 31, 2025</w:t>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28,042,235</w:t>
            </w:r>
          </w:p>
        </w:tc>
        <w:tc>
          <w:tcPr>
            <w:tcW w:w="155"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w:t>
            </w:r>
          </w:p>
        </w:tc>
        <w:tc>
          <w:tcPr>
            <w:tcW w:w="1055" w:type="dxa"/>
            <w:tcBorders/>
            <w:vAlign w:val="bottom"/>
          </w:tcPr>
          <w:p>
            <w:pPr>
              <w:pStyle w:val="TableContents"/>
              <w:bidi w:val="0"/>
              <w:spacing w:before="0" w:after="283"/>
              <w:jc w:val="right"/>
              <w:rPr/>
            </w:pPr>
            <w:r>
              <w:rPr/>
              <w:t>1.27</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30,225</w:t>
            </w:r>
          </w:p>
        </w:tc>
        <w:tc>
          <w:tcPr>
            <w:tcW w:w="69" w:type="dxa"/>
            <w:tcBorders/>
            <w:vAlign w:val="bottom"/>
          </w:tcPr>
          <w:p>
            <w:pPr>
              <w:pStyle w:val="TableContents"/>
              <w:bidi w:val="0"/>
              <w:spacing w:before="0" w:after="283"/>
              <w:jc w:val="left"/>
              <w:rPr/>
            </w:pPr>
            <w:r>
              <w:rPr/>
              <w:t> </w:t>
            </w:r>
          </w:p>
        </w:tc>
      </w:tr>
      <w:tr>
        <w:trPr/>
        <w:tc>
          <w:tcPr>
            <w:tcW w:w="2772"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36"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as of March 31, 2025</w:t>
            </w:r>
          </w:p>
        </w:tc>
        <w:tc>
          <w:tcPr>
            <w:tcW w:w="2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8,472,388</w:t>
            </w:r>
          </w:p>
        </w:tc>
        <w:tc>
          <w:tcPr>
            <w:tcW w:w="155"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1.87</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8.1</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10,342</w:t>
            </w:r>
          </w:p>
        </w:tc>
        <w:tc>
          <w:tcPr>
            <w:tcW w:w="69" w:type="dxa"/>
            <w:tcBorders/>
            <w:shd w:fill="CCEEFF" w:val="clear"/>
            <w:vAlign w:val="bottom"/>
          </w:tcPr>
          <w:p>
            <w:pPr>
              <w:pStyle w:val="TableContents"/>
              <w:bidi w:val="0"/>
              <w:spacing w:before="0" w:after="283"/>
              <w:jc w:val="left"/>
              <w:rPr/>
            </w:pPr>
            <w:r>
              <w:rPr/>
              <w:t> </w:t>
            </w:r>
          </w:p>
        </w:tc>
      </w:tr>
      <w:tr>
        <w:trPr/>
        <w:tc>
          <w:tcPr>
            <w:tcW w:w="2772"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36"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2025, there was approximately $19.0 million of total unrecognized compensation cost related to unvested stock options, which is expected to be recognized over a weighted average period of 2.3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There were no stock options granted during the three months ended March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RSUs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Companys RSU activity issued under the 2011 Amended Plan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24"/>
        <w:gridCol w:w="154"/>
        <w:gridCol w:w="60"/>
        <w:gridCol w:w="1064"/>
        <w:gridCol w:w="155"/>
        <w:gridCol w:w="154"/>
        <w:gridCol w:w="356"/>
        <w:gridCol w:w="1126"/>
        <w:gridCol w:w="62"/>
      </w:tblGrid>
      <w:tr>
        <w:trPr/>
        <w:tc>
          <w:tcPr>
            <w:tcW w:w="4624"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62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RSUs</w:t>
              <w:br/>
              <w:t>Awarded</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 grant</w:t>
            </w:r>
            <w:r>
              <w:rPr/>
              <w:br/>
            </w:r>
            <w:r>
              <w:rPr>
                <w:b/>
              </w:rPr>
              <w:t>date fair value</w:t>
            </w:r>
          </w:p>
        </w:tc>
        <w:tc>
          <w:tcPr>
            <w:tcW w:w="62" w:type="dxa"/>
            <w:tcBorders/>
            <w:vAlign w:val="bottom"/>
          </w:tcPr>
          <w:p>
            <w:pPr>
              <w:pStyle w:val="TableContents"/>
              <w:bidi w:val="0"/>
              <w:spacing w:before="0" w:after="283"/>
              <w:jc w:val="left"/>
              <w:rPr/>
            </w:pPr>
            <w:r>
              <w:rPr/>
              <w:t> </w:t>
            </w:r>
          </w:p>
        </w:tc>
      </w:tr>
      <w:tr>
        <w:trPr/>
        <w:tc>
          <w:tcPr>
            <w:tcW w:w="46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as of December 31, 2024</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3,630,447</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1.53</w:t>
            </w:r>
          </w:p>
        </w:tc>
        <w:tc>
          <w:tcPr>
            <w:tcW w:w="62" w:type="dxa"/>
            <w:tcBorders/>
            <w:shd w:fill="CCEEFF" w:val="clear"/>
            <w:vAlign w:val="bottom"/>
          </w:tcPr>
          <w:p>
            <w:pPr>
              <w:pStyle w:val="TableContents"/>
              <w:bidi w:val="0"/>
              <w:spacing w:before="0" w:after="283"/>
              <w:jc w:val="left"/>
              <w:rPr/>
            </w:pPr>
            <w:r>
              <w:rPr/>
              <w:t> </w:t>
            </w:r>
          </w:p>
        </w:tc>
      </w:tr>
      <w:tr>
        <w:trPr/>
        <w:tc>
          <w:tcPr>
            <w:tcW w:w="4624" w:type="dxa"/>
            <w:tcBorders/>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(2,464,171</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1.76</w:t>
            </w:r>
          </w:p>
        </w:tc>
        <w:tc>
          <w:tcPr>
            <w:tcW w:w="62" w:type="dxa"/>
            <w:tcBorders/>
            <w:vAlign w:val="bottom"/>
          </w:tcPr>
          <w:p>
            <w:pPr>
              <w:pStyle w:val="TableContents"/>
              <w:bidi w:val="0"/>
              <w:spacing w:before="0" w:after="283"/>
              <w:jc w:val="left"/>
              <w:rPr/>
            </w:pPr>
            <w:r>
              <w:rPr/>
              <w:t> </w:t>
            </w:r>
          </w:p>
        </w:tc>
      </w:tr>
      <w:tr>
        <w:trPr/>
        <w:tc>
          <w:tcPr>
            <w:tcW w:w="46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(15,552</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0.73</w:t>
            </w:r>
          </w:p>
        </w:tc>
        <w:tc>
          <w:tcPr>
            <w:tcW w:w="62" w:type="dxa"/>
            <w:tcBorders/>
            <w:shd w:fill="CCEEFF" w:val="clear"/>
            <w:vAlign w:val="bottom"/>
          </w:tcPr>
          <w:p>
            <w:pPr>
              <w:pStyle w:val="TableContents"/>
              <w:bidi w:val="0"/>
              <w:spacing w:before="0" w:after="283"/>
              <w:jc w:val="left"/>
              <w:rPr/>
            </w:pPr>
            <w:r>
              <w:rPr/>
              <w:t> </w:t>
            </w:r>
          </w:p>
        </w:tc>
      </w:tr>
      <w:tr>
        <w:trPr/>
        <w:tc>
          <w:tcPr>
            <w:tcW w:w="4624"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624" w:type="dxa"/>
            <w:tcBorders/>
          </w:tcPr>
          <w:p>
            <w:pPr>
              <w:pStyle w:val="TableContents"/>
              <w:bidi w:val="0"/>
              <w:spacing w:before="0" w:after="0"/>
              <w:jc w:val="left"/>
              <w:rPr>
                <w:rFonts w:ascii="Times New Roman" w:hAnsi="Times New Roman"/>
                <w:sz w:val="20"/>
              </w:rPr>
            </w:pPr>
            <w:r>
              <w:rPr>
                <w:rFonts w:ascii="Times New Roman" w:hAnsi="Times New Roman"/>
                <w:sz w:val="20"/>
              </w:rPr>
              <w:t>Nonvested as of March 31, 2025</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1,150,724</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w:t>
            </w:r>
          </w:p>
        </w:tc>
        <w:tc>
          <w:tcPr>
            <w:tcW w:w="1126" w:type="dxa"/>
            <w:tcBorders/>
            <w:vAlign w:val="bottom"/>
          </w:tcPr>
          <w:p>
            <w:pPr>
              <w:pStyle w:val="TableContents"/>
              <w:bidi w:val="0"/>
              <w:spacing w:before="0" w:after="283"/>
              <w:jc w:val="right"/>
              <w:rPr/>
            </w:pPr>
            <w:r>
              <w:rPr/>
              <w:t>1.04</w:t>
            </w:r>
          </w:p>
        </w:tc>
        <w:tc>
          <w:tcPr>
            <w:tcW w:w="62" w:type="dxa"/>
            <w:tcBorders/>
            <w:vAlign w:val="bottom"/>
          </w:tcPr>
          <w:p>
            <w:pPr>
              <w:pStyle w:val="TableContents"/>
              <w:bidi w:val="0"/>
              <w:spacing w:before="0" w:after="283"/>
              <w:jc w:val="left"/>
              <w:rPr/>
            </w:pPr>
            <w:r>
              <w:rPr/>
              <w:t> </w:t>
            </w:r>
          </w:p>
        </w:tc>
      </w:tr>
      <w:tr>
        <w:trPr/>
        <w:tc>
          <w:tcPr>
            <w:tcW w:w="4624"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consummation of the Merger, the RSUs had both a service-based condition and a liquidity event condition. The liquidity event condition was only satisfied on the consummation of a liquidity event, such as an IPO, which was not determinable or probable as of December 31, 2024. Effective with the consummation of the Merger, we recognized $3.9 million in stock-based compensation expense associated with the vesting of the outstanding RSUs (see Note 3).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the 2,464,171 common stock shares that are subject to the release of the vested RSU have not been issued holders but have been included in the weighted average shares outstanding calculation for purposes of earning per share (see Note 17).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there was approximately $1.0 million of total unrecognized compensation cost related to unvested RSUs, which is expected to be recognized over a weighted average period of 0.8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Purchase Plans </w:t>
      </w:r>
    </w:p>
    <w:p>
      <w:pPr>
        <w:pStyle w:val="TextBody"/>
        <w:bidi w:val="0"/>
        <w:spacing w:before="120" w:after="0"/>
        <w:jc w:val="left"/>
        <w:rPr>
          <w:rFonts w:ascii="Times New Roman" w:hAnsi="Times New Roman"/>
          <w:sz w:val="20"/>
        </w:rPr>
      </w:pPr>
      <w:r>
        <w:rPr>
          <w:rFonts w:ascii="Times New Roman" w:hAnsi="Times New Roman"/>
          <w:sz w:val="20"/>
        </w:rPr>
        <w:t xml:space="preserve">In January 2025, the Companys board of directors adopted the 2025 Employee Stock Purchase Plan (the 2025 ESPP) that became effective upon the date of the de-SPAC in order to enable eligible employees to purchase shares of common stock with accumulated payroll deductions. The 2025 ESPP is intended to qualify under Section 423 of the Internal Revenue Code, as amended. Under the 2025 ESPP, eligible employees are offered the option to purchase share of common stock at a discount over a series of offering periods. Each offering period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3,047,669 shares of common stock were reserved for issuance pursuant to the 2025 ESPP. As of March 31, 2025, no offers have been made to purchase shares of the Companys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Note 14.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the Company had outstanding purchase orders and contractual obligations totaling $0.3 million to procure inventory. The majority of the Companys outstanding inventory purchase orders and preauthorized commitments to procure strategic components based on expected demand are placed with its primary third-party contract manufacturer and a semiconductor supplier.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an obligation to purchase inventories that have been purchased by the contract manufacturer when components have not been consumed within a period defined in the terms of our agreement. During the three months ended March 31, 2025 and 2024, the Company purchased inventories of $0.1 million and $3.3 million, respectively, due to this obligation.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As of March 31, 2025 and December 31, 2024, the liability balance of our accrued losses on purchase commitments equaled $0.6 million on the condensed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w:t>
      </w:r>
    </w:p>
    <w:p>
      <w:pPr>
        <w:pStyle w:val="TextBody"/>
        <w:bidi w:val="0"/>
        <w:spacing w:before="240" w:after="0"/>
        <w:jc w:val="left"/>
        <w:rPr>
          <w:rFonts w:ascii="Times New Roman" w:hAnsi="Times New Roman"/>
          <w:sz w:val="20"/>
        </w:rPr>
      </w:pPr>
      <w:r>
        <w:rPr>
          <w:rFonts w:ascii="Times New Roman" w:hAnsi="Times New Roman"/>
          <w:sz w:val="20"/>
        </w:rPr>
        <w:t xml:space="preserve">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$4,500,000 contingent upon the closing of the Merger and for reimbursement of expenses up to $500,000.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Merger,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 Although the outcome of this matter cannot be predicted with certainty, based on the existing facts and circumstances the Company has recorded estimated liabilities of $4,950,000 on the condensed consolidated balance sheets as of March 31, 2025, of which $3,950,000 is included in accounts payable and $1,000,000 is included in accrued expenses and other current liabilities. These estimated liabilities reflect managements assessment of the Companys potential exposure from the Jefferies Engagement Letter based on its contracted fees. The resolution of this matter could differ materially from the amount currently recorded. The Company continues to evaluate the matter as it progresses and will adjust the estimated liabilities if and when additional information becomes available that indicates a different outcome is probable and reasonably estimable.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Advisor Agreements </w:t>
      </w:r>
    </w:p>
    <w:p>
      <w:pPr>
        <w:pStyle w:val="TextBody"/>
        <w:bidi w:val="0"/>
        <w:spacing w:before="120" w:after="0"/>
        <w:jc w:val="left"/>
        <w:rPr>
          <w:rFonts w:ascii="Times New Roman" w:hAnsi="Times New Roman"/>
          <w:sz w:val="20"/>
        </w:rPr>
      </w:pPr>
      <w:r>
        <w:rPr>
          <w:rFonts w:ascii="Times New Roman" w:hAnsi="Times New Roman"/>
          <w:sz w:val="20"/>
        </w:rPr>
        <w:t xml:space="preserve">In October through December of 2024, the Company entered into various advisor agreements related to business development and strategy, and for new revenue contracts, in new geographical markets. Compensation for services, pending approval by the Companys Board of Directors, is in the form of restricted stock units following the filing of a registration statement subsequent to the Merger consummation to register such shares, and subject to the advisors continued service on the applicable grant date.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2024, the Company entered into an agreement for capital market services which included advisory services and a finders fee, for which payment was due upon the close of the Merger (see Note 3). Under the terms of the agreement, at the Companys discretion, the advisory fee of $0.8 million is to be paid in the form of (i) cash and (ii) cash or a combination of cash and shares of common stock of common stock at a price of $10.00 per share at various dates in 2025. The finders fee, equal to a specified percentage of the trust value of our shares held by investors introduced by the advisor, is to be paid fifty percent in cash and fifty percent in shares of common stock at a price of $10.00 per share, concurrent with the close of the Merger. The Company 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$10.00 per share (subject to a $1.00 per share floor), within two days we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 </w:t>
      </w:r>
    </w:p>
    <w:p>
      <w:pPr>
        <w:pStyle w:val="TextBody"/>
        <w:bidi w:val="0"/>
        <w:spacing w:before="360" w:after="0"/>
        <w:jc w:val="left"/>
        <w:rPr>
          <w:rFonts w:ascii="Times New Roman" w:hAnsi="Times New Roman"/>
          <w:b/>
          <w:sz w:val="20"/>
        </w:rPr>
      </w:pPr>
      <w:r>
        <w:rPr>
          <w:rFonts w:ascii="Times New Roman" w:hAnsi="Times New Roman"/>
          <w:b/>
          <w:sz w:val="20"/>
        </w:rPr>
        <w:t xml:space="preserve">Note 15. Related Party Transactions and Balances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2025, the Company recognized no revenue from sales to minority stockholders. During the three months ended March 31, 2024, the Company recognized revenues of approximately $0.5 million, or approximately 100% of its total revenue, from sales to two minority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and December 31, 2024, there was no accounts receivable due from these customers. </w:t>
      </w:r>
    </w:p>
    <w:p>
      <w:pPr>
        <w:pStyle w:val="TextBody"/>
        <w:bidi w:val="0"/>
        <w:spacing w:before="240" w:after="0"/>
        <w:jc w:val="left"/>
        <w:rPr>
          <w:rFonts w:ascii="Times New Roman" w:hAnsi="Times New Roman"/>
          <w:sz w:val="20"/>
        </w:rPr>
      </w:pPr>
      <w:r>
        <w:rPr>
          <w:rFonts w:ascii="Times New Roman" w:hAnsi="Times New Roman"/>
          <w:sz w:val="20"/>
        </w:rPr>
        <w:t xml:space="preserve">In 2023, we issued a convertible note in the amount of $5.0 million or 41% of the total 2023 Convertible Note proceeds raised in 2023 to a related party investor holding more than a 10% ownership our outstanding stock. This related party investor also has a representative serving on our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9). The 2023 Convertible Note and 2023 Convertible Note Warrants held by this investor were subject to the adjustments in fair value. As of December 31, 2024, the 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months ended March 31, 2025 and 2024, the changes in fair value for the respective 2023 Convertible Note were $6.0 million and $0.9 million, respectively (see Note 5). During the three months ended March 31, 2025 and 2024, the changes in fair value for the respective 2023 Convertible Note Warrants were $1.2 million and less than $0.1 million, respectively (see Note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January 2023, one of the minority investors with which we had a prior revenue arrangement, with no revenue in the three months ended March 31, 2025 and 2024, also invested in a P2P Note in the amount of $3.3 million or 35% of the total P2P proceeds raised in 2023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this related partys respective P2P Note and P2P Warrants were converted into common stock in connection with the Merger (see Note 3). During the three months ended March 31, 2025 and 2024, the change in fair value for the respective P2P Note was $7.2 million and less than $0.1 million, respectively (see Note 5). During the three months ended March 31, 2025 and 2024, the change in fair value for the respective P2P Warrants was $3.3 million and $0.5 million, respectively (see Note 5).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2022, one of the minority stockholders with which we had a prior revenue arrangement, representing approximately 0% and approximately 100% of total revenues for the three months ended March 31, 2025 and 2024, and 0% and 98% of accounts receivable as of March 31, 2025 and December 31, 2024, respectively, also invested in a P2P Note in the amount of $0.4 million, or 13% of the total P2P proceeds raised in 2022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2022 P2P Note and P2P Warrants were converted into common stock in connection with the Merger (see Note 3). During the three months ended March 31, 2025, the changes in fair value for this set of P2P Note and P2P Note Warrants was $0.8 million and $0.2 million, respectively (see Note 5). During the three months ended March 31, 2024, the change in fair value for this set of P2P Note and P2P Note Warrants was immaterial (see Note 5).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in connection with the consummation of the Merger, BurTech LP, previously the Sponsor of BurTech, issued a secured promissory note and pledge agreement to BurTech in the principal amount of approximately $8.8 million, bearing an interest rate of 7% with annual compounding, compounded on December 31 each year. Pursuant to this promissory note, BurTech LP agreed to pay certain of the transaction expenses (as defined in the Merger Agreement) of BurTech. As consideration for this promissory note, the Company issued 750,000 shares of common stock to BurTech LP. BurTech LP is obligated to pay the related transaction expenses set forth in the note within ninety days after the date that the shares have been registered for resale under the Securities Act. As of March 31, 2025, payment in the note had not yet been received.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2025 and 2024, the Company incurred $0.2 million and zero, respectively, of marketing expenses paid to a company owned by a direct family member of one of our minority stockholders and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the Company has amounts due for a Working Capital Loan and advances from a related party (see Note 8). </w:t>
      </w:r>
    </w:p>
    <w:p>
      <w:pPr>
        <w:pStyle w:val="TextBody"/>
        <w:bidi w:val="0"/>
        <w:spacing w:before="360" w:after="0"/>
        <w:jc w:val="left"/>
        <w:rPr>
          <w:rFonts w:ascii="Times New Roman" w:hAnsi="Times New Roman"/>
          <w:b/>
          <w:sz w:val="20"/>
        </w:rPr>
      </w:pPr>
      <w:r>
        <w:rPr>
          <w:rFonts w:ascii="Times New Roman" w:hAnsi="Times New Roman"/>
          <w:b/>
          <w:sz w:val="20"/>
        </w:rPr>
        <w:t xml:space="preserve">Note 16. 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as a single reportable segment, and manages the business and evaluates financial performance on a consolidated basis. The CODM regularly receives and reviews consolidated financial results focusing primarily on revenue, costs and expenses, and net loss from the consolidated statements of operations to make decisions regarding the allocation of resources and assessment of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determined that net loss and earnings before interest, tax, depreciation and amortization (EBITDA) adjusted for irregular or non-recurring items (Adjusted EBITDA) are the profit or loss measures that the CODM uses to make resource allocation decisions and evaluate segment performance. Adjusted EBITDA assists management in comparing the performance on a consistent basis for purposes of business decision-making by removing the impact of certain items that management believes do not directly reflect our core operations and, therefore, are not included in measuring performance. The Company defines Adjusted EBITDA as net loss before interest, taxes, depreciation and amortization, certain non-cash items and other adjustments that we do not consider in our evaluation of ongoing operating performance from period to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Net loss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56"/>
        <w:gridCol w:w="147"/>
        <w:gridCol w:w="208"/>
        <w:gridCol w:w="1305"/>
        <w:gridCol w:w="231"/>
        <w:gridCol w:w="203"/>
        <w:gridCol w:w="208"/>
        <w:gridCol w:w="1138"/>
        <w:gridCol w:w="159"/>
      </w:tblGrid>
      <w:tr>
        <w:trPr/>
        <w:tc>
          <w:tcPr>
            <w:tcW w:w="4156"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2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9" w:type="dxa"/>
            <w:tcBorders/>
            <w:vAlign w:val="bottom"/>
          </w:tcPr>
          <w:p>
            <w:pPr>
              <w:pStyle w:val="TableContents"/>
              <w:bidi w:val="0"/>
              <w:spacing w:before="0" w:after="283"/>
              <w:jc w:val="left"/>
              <w:rPr/>
            </w:pPr>
            <w:r>
              <w:rPr/>
              <w:t> </w:t>
            </w:r>
          </w:p>
        </w:tc>
      </w:tr>
      <w:tr>
        <w:trPr/>
        <w:tc>
          <w:tcPr>
            <w:tcW w:w="4156" w:type="dxa"/>
            <w:tcBorders/>
            <w:vAlign w:val="bottom"/>
          </w:tcPr>
          <w:p>
            <w:pPr>
              <w:pStyle w:val="TableContents"/>
              <w:bidi w:val="0"/>
              <w:spacing w:before="0" w:after="283"/>
              <w:jc w:val="left"/>
              <w:rPr>
                <w:i/>
              </w:rPr>
            </w:pPr>
            <w:r>
              <w:rPr>
                <w:i/>
              </w:rPr>
              <w:t>(Amounts in thousands)</w:t>
            </w:r>
          </w:p>
        </w:tc>
        <w:tc>
          <w:tcPr>
            <w:tcW w:w="147"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3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4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305" w:type="dxa"/>
            <w:tcBorders/>
            <w:shd w:fill="CCEEFF" w:val="clear"/>
            <w:vAlign w:val="bottom"/>
          </w:tcPr>
          <w:p>
            <w:pPr>
              <w:pStyle w:val="TableContents"/>
              <w:bidi w:val="0"/>
              <w:spacing w:before="0" w:after="283"/>
              <w:jc w:val="right"/>
              <w:rPr/>
            </w:pPr>
            <w:r>
              <w:rPr/>
              <w:t>1,007</w:t>
            </w:r>
          </w:p>
        </w:tc>
        <w:tc>
          <w:tcPr>
            <w:tcW w:w="23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549</w:t>
            </w:r>
          </w:p>
        </w:tc>
        <w:tc>
          <w:tcPr>
            <w:tcW w:w="159" w:type="dxa"/>
            <w:tcBorders/>
            <w:shd w:fill="CCEEFF" w:val="clear"/>
            <w:vAlign w:val="bottom"/>
          </w:tcPr>
          <w:p>
            <w:pPr>
              <w:pStyle w:val="TableContents"/>
              <w:bidi w:val="0"/>
              <w:spacing w:before="0" w:after="283"/>
              <w:jc w:val="left"/>
              <w:rPr/>
            </w:pPr>
            <w:r>
              <w:rPr/>
              <w:t> </w:t>
            </w:r>
          </w:p>
        </w:tc>
      </w:tr>
      <w:tr>
        <w:trPr/>
        <w:tc>
          <w:tcPr>
            <w:tcW w:w="4156"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(327</w:t>
            </w:r>
          </w:p>
        </w:tc>
        <w:tc>
          <w:tcPr>
            <w:tcW w:w="23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(306</w:t>
            </w:r>
          </w:p>
        </w:tc>
        <w:tc>
          <w:tcPr>
            <w:tcW w:w="159" w:type="dxa"/>
            <w:tcBorders/>
            <w:vAlign w:val="bottom"/>
          </w:tcPr>
          <w:p>
            <w:pPr>
              <w:pStyle w:val="TableContents"/>
              <w:bidi w:val="0"/>
              <w:spacing w:before="0" w:after="283"/>
              <w:jc w:val="left"/>
              <w:rPr/>
            </w:pPr>
            <w:r>
              <w:rPr/>
              <w:t>) </w:t>
            </w:r>
          </w:p>
        </w:tc>
      </w:tr>
      <w:tr>
        <w:trPr/>
        <w:tc>
          <w:tcPr>
            <w:tcW w:w="4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costs</w:t>
            </w:r>
          </w:p>
        </w:tc>
        <w:tc>
          <w:tcPr>
            <w:tcW w:w="1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(19,081</w:t>
            </w:r>
          </w:p>
        </w:tc>
        <w:tc>
          <w:tcPr>
            <w:tcW w:w="23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(5,700</w:t>
            </w:r>
          </w:p>
        </w:tc>
        <w:tc>
          <w:tcPr>
            <w:tcW w:w="159" w:type="dxa"/>
            <w:tcBorders/>
            <w:shd w:fill="CCEEFF" w:val="clear"/>
            <w:vAlign w:val="bottom"/>
          </w:tcPr>
          <w:p>
            <w:pPr>
              <w:pStyle w:val="TableContents"/>
              <w:bidi w:val="0"/>
              <w:spacing w:before="0" w:after="283"/>
              <w:jc w:val="left"/>
              <w:rPr/>
            </w:pPr>
            <w:r>
              <w:rPr/>
              <w:t>) </w:t>
            </w:r>
          </w:p>
        </w:tc>
      </w:tr>
      <w:tr>
        <w:trPr/>
        <w:tc>
          <w:tcPr>
            <w:tcW w:w="4156" w:type="dxa"/>
            <w:tcBorders/>
          </w:tcPr>
          <w:p>
            <w:pPr>
              <w:pStyle w:val="TableContents"/>
              <w:bidi w:val="0"/>
              <w:spacing w:before="0" w:after="0"/>
              <w:jc w:val="left"/>
              <w:rPr>
                <w:rFonts w:ascii="Times New Roman" w:hAnsi="Times New Roman"/>
                <w:sz w:val="20"/>
              </w:rPr>
            </w:pPr>
            <w:r>
              <w:rPr>
                <w:rFonts w:ascii="Times New Roman" w:hAnsi="Times New Roman"/>
                <w:sz w:val="20"/>
              </w:rPr>
              <w:t>Technology costs</w:t>
            </w:r>
          </w:p>
        </w:tc>
        <w:tc>
          <w:tcPr>
            <w:tcW w:w="1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(2,417</w:t>
            </w:r>
          </w:p>
        </w:tc>
        <w:tc>
          <w:tcPr>
            <w:tcW w:w="23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(360</w:t>
            </w:r>
          </w:p>
        </w:tc>
        <w:tc>
          <w:tcPr>
            <w:tcW w:w="159" w:type="dxa"/>
            <w:tcBorders/>
            <w:vAlign w:val="bottom"/>
          </w:tcPr>
          <w:p>
            <w:pPr>
              <w:pStyle w:val="TableContents"/>
              <w:bidi w:val="0"/>
              <w:spacing w:before="0" w:after="283"/>
              <w:jc w:val="left"/>
              <w:rPr/>
            </w:pPr>
            <w:r>
              <w:rPr/>
              <w:t>) </w:t>
            </w:r>
          </w:p>
        </w:tc>
      </w:tr>
      <w:tr>
        <w:trPr/>
        <w:tc>
          <w:tcPr>
            <w:tcW w:w="4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(191</w:t>
            </w:r>
          </w:p>
        </w:tc>
        <w:tc>
          <w:tcPr>
            <w:tcW w:w="23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(253</w:t>
            </w:r>
          </w:p>
        </w:tc>
        <w:tc>
          <w:tcPr>
            <w:tcW w:w="159" w:type="dxa"/>
            <w:tcBorders/>
            <w:shd w:fill="CCEEFF" w:val="clear"/>
            <w:vAlign w:val="bottom"/>
          </w:tcPr>
          <w:p>
            <w:pPr>
              <w:pStyle w:val="TableContents"/>
              <w:bidi w:val="0"/>
              <w:spacing w:before="0" w:after="283"/>
              <w:jc w:val="left"/>
              <w:rPr/>
            </w:pPr>
            <w:r>
              <w:rPr/>
              <w:t>) </w:t>
            </w:r>
          </w:p>
        </w:tc>
      </w:tr>
      <w:tr>
        <w:trPr/>
        <w:tc>
          <w:tcPr>
            <w:tcW w:w="4156" w:type="dxa"/>
            <w:tcBorders/>
          </w:tcPr>
          <w:p>
            <w:pPr>
              <w:pStyle w:val="TableContents"/>
              <w:bidi w:val="0"/>
              <w:spacing w:before="0" w:after="0"/>
              <w:jc w:val="left"/>
              <w:rPr>
                <w:rFonts w:ascii="Times New Roman" w:hAnsi="Times New Roman"/>
                <w:sz w:val="20"/>
              </w:rPr>
            </w:pPr>
            <w:r>
              <w:rPr>
                <w:rFonts w:ascii="Times New Roman" w:hAnsi="Times New Roman"/>
                <w:sz w:val="20"/>
              </w:rPr>
              <w:t>Net interest (income)/expense</w:t>
            </w:r>
          </w:p>
        </w:tc>
        <w:tc>
          <w:tcPr>
            <w:tcW w:w="1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399</w:t>
            </w:r>
          </w:p>
        </w:tc>
        <w:tc>
          <w:tcPr>
            <w:tcW w:w="23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(229</w:t>
            </w:r>
          </w:p>
        </w:tc>
        <w:tc>
          <w:tcPr>
            <w:tcW w:w="159" w:type="dxa"/>
            <w:tcBorders/>
            <w:vAlign w:val="bottom"/>
          </w:tcPr>
          <w:p>
            <w:pPr>
              <w:pStyle w:val="TableContents"/>
              <w:bidi w:val="0"/>
              <w:spacing w:before="0" w:after="283"/>
              <w:jc w:val="left"/>
              <w:rPr/>
            </w:pPr>
            <w:r>
              <w:rPr/>
              <w:t>) </w:t>
            </w:r>
          </w:p>
        </w:tc>
      </w:tr>
      <w:tr>
        <w:trPr/>
        <w:tc>
          <w:tcPr>
            <w:tcW w:w="4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changes and financing charges</w:t>
            </w:r>
          </w:p>
        </w:tc>
        <w:tc>
          <w:tcPr>
            <w:tcW w:w="1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(109,530</w:t>
            </w:r>
          </w:p>
        </w:tc>
        <w:tc>
          <w:tcPr>
            <w:tcW w:w="23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(8,166</w:t>
            </w:r>
          </w:p>
        </w:tc>
        <w:tc>
          <w:tcPr>
            <w:tcW w:w="159" w:type="dxa"/>
            <w:tcBorders/>
            <w:shd w:fill="CCEEFF" w:val="clear"/>
            <w:vAlign w:val="bottom"/>
          </w:tcPr>
          <w:p>
            <w:pPr>
              <w:pStyle w:val="TableContents"/>
              <w:bidi w:val="0"/>
              <w:spacing w:before="0" w:after="283"/>
              <w:jc w:val="left"/>
              <w:rPr/>
            </w:pPr>
            <w:r>
              <w:rPr/>
              <w:t>) </w:t>
            </w:r>
          </w:p>
        </w:tc>
      </w:tr>
      <w:tr>
        <w:trPr/>
        <w:tc>
          <w:tcPr>
            <w:tcW w:w="4156" w:type="dxa"/>
            <w:tcBorders/>
          </w:tcPr>
          <w:p>
            <w:pPr>
              <w:pStyle w:val="TableContents"/>
              <w:bidi w:val="0"/>
              <w:spacing w:before="0" w:after="0"/>
              <w:jc w:val="left"/>
              <w:rPr>
                <w:rFonts w:ascii="Times New Roman" w:hAnsi="Times New Roman"/>
                <w:sz w:val="20"/>
              </w:rPr>
            </w:pPr>
            <w:r>
              <w:rPr>
                <w:rFonts w:ascii="Times New Roman" w:hAnsi="Times New Roman"/>
                <w:sz w:val="20"/>
              </w:rPr>
              <w:t>Other segment items (a)</w:t>
            </w:r>
          </w:p>
        </w:tc>
        <w:tc>
          <w:tcPr>
            <w:tcW w:w="1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(17,621</w:t>
            </w:r>
          </w:p>
        </w:tc>
        <w:tc>
          <w:tcPr>
            <w:tcW w:w="23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(2,278</w:t>
            </w:r>
          </w:p>
        </w:tc>
        <w:tc>
          <w:tcPr>
            <w:tcW w:w="159" w:type="dxa"/>
            <w:tcBorders/>
            <w:vAlign w:val="bottom"/>
          </w:tcPr>
          <w:p>
            <w:pPr>
              <w:pStyle w:val="TableContents"/>
              <w:bidi w:val="0"/>
              <w:spacing w:before="0" w:after="283"/>
              <w:jc w:val="left"/>
              <w:rPr/>
            </w:pPr>
            <w:r>
              <w:rPr/>
              <w:t>) </w:t>
            </w:r>
          </w:p>
        </w:tc>
      </w:tr>
      <w:tr>
        <w:trPr/>
        <w:tc>
          <w:tcPr>
            <w:tcW w:w="415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305" w:type="dxa"/>
            <w:tcBorders/>
            <w:shd w:fill="CCEEFF" w:val="clear"/>
            <w:vAlign w:val="bottom"/>
          </w:tcPr>
          <w:p>
            <w:pPr>
              <w:pStyle w:val="TableContents"/>
              <w:bidi w:val="0"/>
              <w:spacing w:before="0" w:after="283"/>
              <w:jc w:val="right"/>
              <w:rPr/>
            </w:pPr>
            <w:r>
              <w:rPr/>
              <w:t>(147,761</w:t>
            </w:r>
          </w:p>
        </w:tc>
        <w:tc>
          <w:tcPr>
            <w:tcW w:w="23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(16,743</w:t>
            </w:r>
          </w:p>
        </w:tc>
        <w:tc>
          <w:tcPr>
            <w:tcW w:w="159" w:type="dxa"/>
            <w:tcBorders/>
            <w:shd w:fill="CCEEFF" w:val="clear"/>
            <w:vAlign w:val="bottom"/>
          </w:tcPr>
          <w:p>
            <w:pPr>
              <w:pStyle w:val="TableContents"/>
              <w:bidi w:val="0"/>
              <w:spacing w:before="0" w:after="283"/>
              <w:jc w:val="left"/>
              <w:rPr/>
            </w:pPr>
            <w:r>
              <w:rPr/>
              <w:t>) </w:t>
            </w:r>
          </w:p>
        </w:tc>
      </w:tr>
      <w:tr>
        <w:trPr/>
        <w:tc>
          <w:tcPr>
            <w:tcW w:w="415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3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includes marketing expense, professional fees, income tax expense, facilities costs, foreign currency exchange gains and losses, credit loss expense, and other overhead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reflects our Adjusted EBITDA: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55"/>
        <w:gridCol w:w="147"/>
        <w:gridCol w:w="208"/>
        <w:gridCol w:w="1306"/>
        <w:gridCol w:w="231"/>
        <w:gridCol w:w="203"/>
        <w:gridCol w:w="208"/>
        <w:gridCol w:w="1139"/>
        <w:gridCol w:w="158"/>
      </w:tblGrid>
      <w:tr>
        <w:trPr/>
        <w:tc>
          <w:tcPr>
            <w:tcW w:w="4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2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4155" w:type="dxa"/>
            <w:tcBorders/>
            <w:vAlign w:val="bottom"/>
          </w:tcPr>
          <w:p>
            <w:pPr>
              <w:pStyle w:val="TableContents"/>
              <w:bidi w:val="0"/>
              <w:spacing w:before="0" w:after="283"/>
              <w:jc w:val="left"/>
              <w:rPr>
                <w:i/>
              </w:rPr>
            </w:pPr>
            <w:r>
              <w:rPr>
                <w:i/>
              </w:rPr>
              <w:t>(Amounts in thousands)</w:t>
            </w:r>
          </w:p>
        </w:tc>
        <w:tc>
          <w:tcPr>
            <w:tcW w:w="147"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3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4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306" w:type="dxa"/>
            <w:tcBorders/>
            <w:shd w:fill="CCEEFF" w:val="clear"/>
            <w:vAlign w:val="bottom"/>
          </w:tcPr>
          <w:p>
            <w:pPr>
              <w:pStyle w:val="TableContents"/>
              <w:bidi w:val="0"/>
              <w:spacing w:before="0" w:after="283"/>
              <w:jc w:val="right"/>
              <w:rPr/>
            </w:pPr>
            <w:r>
              <w:rPr/>
              <w:t>(147,761</w:t>
            </w:r>
          </w:p>
        </w:tc>
        <w:tc>
          <w:tcPr>
            <w:tcW w:w="23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(16,743</w:t>
            </w:r>
          </w:p>
        </w:tc>
        <w:tc>
          <w:tcPr>
            <w:tcW w:w="158" w:type="dxa"/>
            <w:tcBorders/>
            <w:shd w:fill="CCEEFF" w:val="clear"/>
            <w:vAlign w:val="bottom"/>
          </w:tcPr>
          <w:p>
            <w:pPr>
              <w:pStyle w:val="TableContents"/>
              <w:bidi w:val="0"/>
              <w:spacing w:before="0" w:after="283"/>
              <w:jc w:val="left"/>
              <w:rPr/>
            </w:pPr>
            <w:r>
              <w:rPr/>
              <w:t>) </w:t>
            </w:r>
          </w:p>
        </w:tc>
      </w:tr>
      <w:tr>
        <w:trPr/>
        <w:tc>
          <w:tcPr>
            <w:tcW w:w="415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191</w:t>
            </w:r>
          </w:p>
        </w:tc>
        <w:tc>
          <w:tcPr>
            <w:tcW w:w="23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253</w:t>
            </w:r>
          </w:p>
        </w:tc>
        <w:tc>
          <w:tcPr>
            <w:tcW w:w="158" w:type="dxa"/>
            <w:tcBorders/>
            <w:vAlign w:val="bottom"/>
          </w:tcPr>
          <w:p>
            <w:pPr>
              <w:pStyle w:val="TableContents"/>
              <w:bidi w:val="0"/>
              <w:spacing w:before="0" w:after="283"/>
              <w:jc w:val="left"/>
              <w:rPr/>
            </w:pPr>
            <w:r>
              <w:rPr/>
              <w:t> </w:t>
            </w:r>
          </w:p>
        </w:tc>
      </w:tr>
      <w:tr>
        <w:trPr/>
        <w:tc>
          <w:tcPr>
            <w:tcW w:w="4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162</w:t>
            </w:r>
          </w:p>
        </w:tc>
        <w:tc>
          <w:tcPr>
            <w:tcW w:w="23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162</w:t>
            </w:r>
          </w:p>
        </w:tc>
        <w:tc>
          <w:tcPr>
            <w:tcW w:w="158" w:type="dxa"/>
            <w:tcBorders/>
            <w:shd w:fill="CCEEFF" w:val="clear"/>
            <w:vAlign w:val="bottom"/>
          </w:tcPr>
          <w:p>
            <w:pPr>
              <w:pStyle w:val="TableContents"/>
              <w:bidi w:val="0"/>
              <w:spacing w:before="0" w:after="283"/>
              <w:jc w:val="left"/>
              <w:rPr/>
            </w:pPr>
            <w:r>
              <w:rPr/>
              <w:t> </w:t>
            </w:r>
          </w:p>
        </w:tc>
      </w:tr>
      <w:tr>
        <w:trPr/>
        <w:tc>
          <w:tcPr>
            <w:tcW w:w="4155"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expenses, net</w:t>
            </w:r>
          </w:p>
        </w:tc>
        <w:tc>
          <w:tcPr>
            <w:tcW w:w="1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109,578</w:t>
            </w:r>
          </w:p>
        </w:tc>
        <w:tc>
          <w:tcPr>
            <w:tcW w:w="23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8,444</w:t>
            </w:r>
          </w:p>
        </w:tc>
        <w:tc>
          <w:tcPr>
            <w:tcW w:w="158" w:type="dxa"/>
            <w:tcBorders/>
            <w:vAlign w:val="bottom"/>
          </w:tcPr>
          <w:p>
            <w:pPr>
              <w:pStyle w:val="TableContents"/>
              <w:bidi w:val="0"/>
              <w:spacing w:before="0" w:after="283"/>
              <w:jc w:val="left"/>
              <w:rPr/>
            </w:pPr>
            <w:r>
              <w:rPr/>
              <w:t> </w:t>
            </w:r>
          </w:p>
        </w:tc>
      </w:tr>
      <w:tr>
        <w:trPr/>
        <w:tc>
          <w:tcPr>
            <w:tcW w:w="415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306" w:type="dxa"/>
            <w:tcBorders/>
            <w:vAlign w:val="bottom"/>
          </w:tcPr>
          <w:p>
            <w:pPr>
              <w:pStyle w:val="TableContents"/>
              <w:pBdr>
                <w:top w:val="single" w:sz="2"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(37,830</w:t>
            </w:r>
          </w:p>
        </w:tc>
        <w:tc>
          <w:tcPr>
            <w:tcW w:w="23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(7,884</w:t>
            </w:r>
          </w:p>
        </w:tc>
        <w:tc>
          <w:tcPr>
            <w:tcW w:w="158" w:type="dxa"/>
            <w:tcBorders/>
            <w:shd w:fill="CCEEFF" w:val="clear"/>
            <w:vAlign w:val="bottom"/>
          </w:tcPr>
          <w:p>
            <w:pPr>
              <w:pStyle w:val="TableContents"/>
              <w:bidi w:val="0"/>
              <w:spacing w:before="0" w:after="283"/>
              <w:jc w:val="left"/>
              <w:rPr/>
            </w:pPr>
            <w:r>
              <w:rPr/>
              <w:t>) </w:t>
            </w:r>
          </w:p>
        </w:tc>
      </w:tr>
      <w:tr>
        <w:trPr/>
        <w:tc>
          <w:tcPr>
            <w:tcW w:w="415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11,040</w:t>
            </w:r>
          </w:p>
        </w:tc>
        <w:tc>
          <w:tcPr>
            <w:tcW w:w="23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337</w:t>
            </w:r>
          </w:p>
        </w:tc>
        <w:tc>
          <w:tcPr>
            <w:tcW w:w="158" w:type="dxa"/>
            <w:tcBorders/>
            <w:vAlign w:val="bottom"/>
          </w:tcPr>
          <w:p>
            <w:pPr>
              <w:pStyle w:val="TableContents"/>
              <w:bidi w:val="0"/>
              <w:spacing w:before="0" w:after="283"/>
              <w:jc w:val="left"/>
              <w:rPr/>
            </w:pPr>
            <w:r>
              <w:rPr/>
              <w:t> </w:t>
            </w:r>
          </w:p>
        </w:tc>
      </w:tr>
      <w:tr>
        <w:trPr/>
        <w:tc>
          <w:tcPr>
            <w:tcW w:w="4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inventory cost realignment adjustments</w:t>
            </w:r>
          </w:p>
        </w:tc>
        <w:tc>
          <w:tcPr>
            <w:tcW w:w="1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(625</w:t>
            </w:r>
          </w:p>
        </w:tc>
        <w:tc>
          <w:tcPr>
            <w:tcW w:w="23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(25</w:t>
            </w:r>
          </w:p>
        </w:tc>
        <w:tc>
          <w:tcPr>
            <w:tcW w:w="158" w:type="dxa"/>
            <w:tcBorders/>
            <w:shd w:fill="CCEEFF" w:val="clear"/>
            <w:vAlign w:val="bottom"/>
          </w:tcPr>
          <w:p>
            <w:pPr>
              <w:pStyle w:val="TableContents"/>
              <w:bidi w:val="0"/>
              <w:spacing w:before="0" w:after="283"/>
              <w:jc w:val="left"/>
              <w:rPr/>
            </w:pPr>
            <w:r>
              <w:rPr/>
              <w:t>) </w:t>
            </w:r>
          </w:p>
        </w:tc>
      </w:tr>
      <w:tr>
        <w:trPr/>
        <w:tc>
          <w:tcPr>
            <w:tcW w:w="4155" w:type="dxa"/>
            <w:tcBorders/>
          </w:tcPr>
          <w:p>
            <w:pPr>
              <w:pStyle w:val="TableContents"/>
              <w:bidi w:val="0"/>
              <w:spacing w:before="0" w:after="0"/>
              <w:jc w:val="left"/>
              <w:rPr>
                <w:rFonts w:ascii="Times New Roman" w:hAnsi="Times New Roman"/>
                <w:sz w:val="20"/>
              </w:rPr>
            </w:pPr>
            <w:r>
              <w:rPr>
                <w:rFonts w:ascii="Times New Roman" w:hAnsi="Times New Roman"/>
                <w:sz w:val="20"/>
              </w:rPr>
              <w:t>Other non-recurring expenses (a)</w:t>
            </w:r>
          </w:p>
        </w:tc>
        <w:tc>
          <w:tcPr>
            <w:tcW w:w="1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12,035</w:t>
            </w:r>
          </w:p>
        </w:tc>
        <w:tc>
          <w:tcPr>
            <w:tcW w:w="23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45</w:t>
            </w:r>
          </w:p>
        </w:tc>
        <w:tc>
          <w:tcPr>
            <w:tcW w:w="158" w:type="dxa"/>
            <w:tcBorders/>
            <w:vAlign w:val="bottom"/>
          </w:tcPr>
          <w:p>
            <w:pPr>
              <w:pStyle w:val="TableContents"/>
              <w:bidi w:val="0"/>
              <w:spacing w:before="0" w:after="283"/>
              <w:jc w:val="left"/>
              <w:rPr/>
            </w:pPr>
            <w:r>
              <w:rPr/>
              <w:t> </w:t>
            </w:r>
          </w:p>
        </w:tc>
      </w:tr>
      <w:tr>
        <w:trPr/>
        <w:tc>
          <w:tcPr>
            <w:tcW w:w="415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306" w:type="dxa"/>
            <w:tcBorders/>
            <w:vAlign w:val="bottom"/>
          </w:tcPr>
          <w:p>
            <w:pPr>
              <w:pStyle w:val="TableContents"/>
              <w:pBdr>
                <w:top w:val="single" w:sz="2"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306" w:type="dxa"/>
            <w:tcBorders/>
            <w:shd w:fill="CCEEFF" w:val="clear"/>
            <w:vAlign w:val="bottom"/>
          </w:tcPr>
          <w:p>
            <w:pPr>
              <w:pStyle w:val="TableContents"/>
              <w:bidi w:val="0"/>
              <w:spacing w:before="0" w:after="283"/>
              <w:jc w:val="right"/>
              <w:rPr/>
            </w:pPr>
            <w:r>
              <w:rPr/>
              <w:t>(15,380</w:t>
            </w:r>
          </w:p>
        </w:tc>
        <w:tc>
          <w:tcPr>
            <w:tcW w:w="23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(7,527</w:t>
            </w:r>
          </w:p>
        </w:tc>
        <w:tc>
          <w:tcPr>
            <w:tcW w:w="158" w:type="dxa"/>
            <w:tcBorders/>
            <w:shd w:fill="CCEEFF" w:val="clear"/>
            <w:vAlign w:val="bottom"/>
          </w:tcPr>
          <w:p>
            <w:pPr>
              <w:pStyle w:val="TableContents"/>
              <w:bidi w:val="0"/>
              <w:spacing w:before="0" w:after="283"/>
              <w:jc w:val="left"/>
              <w:rPr/>
            </w:pPr>
            <w:r>
              <w:rPr/>
              <w:t>) </w:t>
            </w:r>
          </w:p>
        </w:tc>
      </w:tr>
      <w:tr>
        <w:trPr/>
        <w:tc>
          <w:tcPr>
            <w:tcW w:w="415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306" w:type="dxa"/>
            <w:tcBorders/>
            <w:vAlign w:val="bottom"/>
          </w:tcPr>
          <w:p>
            <w:pPr>
              <w:pStyle w:val="TableContents"/>
              <w:pBdr>
                <w:top w:val="double" w:sz="6"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but not limited to, legal, accounting and consulting fees incurred in connection with the Merger. These costs are non-recurring and are not reflective of our ongoing operating performance. Management believes that excluding these costs provides a more meaningful comparison of our performance to prior periods.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measure of segment assets is reported on the condensed consolidated balance sheet as total consolidated assets. Long-lived and ROU assets were located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06"/>
        <w:gridCol w:w="143"/>
        <w:gridCol w:w="256"/>
        <w:gridCol w:w="1024"/>
        <w:gridCol w:w="60"/>
        <w:gridCol w:w="143"/>
        <w:gridCol w:w="250"/>
        <w:gridCol w:w="1002"/>
        <w:gridCol w:w="60"/>
        <w:gridCol w:w="143"/>
        <w:gridCol w:w="256"/>
        <w:gridCol w:w="1023"/>
        <w:gridCol w:w="60"/>
        <w:gridCol w:w="143"/>
        <w:gridCol w:w="250"/>
        <w:gridCol w:w="1002"/>
        <w:gridCol w:w="67"/>
      </w:tblGrid>
      <w:tr>
        <w:trPr/>
        <w:tc>
          <w:tcPr>
            <w:tcW w:w="350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50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 2025</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7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7" w:type="dxa"/>
            <w:tcBorders/>
            <w:vAlign w:val="bottom"/>
          </w:tcPr>
          <w:p>
            <w:pPr>
              <w:pStyle w:val="TableContents"/>
              <w:bidi w:val="0"/>
              <w:spacing w:before="0" w:after="283"/>
              <w:jc w:val="left"/>
              <w:rPr/>
            </w:pPr>
            <w:r>
              <w:rPr/>
              <w:t> </w:t>
            </w:r>
          </w:p>
        </w:tc>
      </w:tr>
      <w:tr>
        <w:trPr/>
        <w:tc>
          <w:tcPr>
            <w:tcW w:w="3506" w:type="dxa"/>
            <w:tcBorders/>
            <w:vAlign w:val="bottom"/>
          </w:tcPr>
          <w:p>
            <w:pPr>
              <w:pStyle w:val="TableContents"/>
              <w:bidi w:val="0"/>
              <w:spacing w:before="0" w:after="283"/>
              <w:jc w:val="left"/>
              <w:rPr>
                <w:i/>
              </w:rPr>
            </w:pPr>
            <w:r>
              <w:rPr>
                <w:i/>
              </w:rPr>
              <w:t>(Amounts in thousands)</w:t>
            </w:r>
          </w:p>
        </w:tc>
        <w:tc>
          <w:tcPr>
            <w:tcW w:w="143"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Fixed Assets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ROU Assets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Fixed Assets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ROU Assets</w:t>
            </w:r>
          </w:p>
        </w:tc>
        <w:tc>
          <w:tcPr>
            <w:tcW w:w="67" w:type="dxa"/>
            <w:tcBorders/>
            <w:vAlign w:val="bottom"/>
          </w:tcPr>
          <w:p>
            <w:pPr>
              <w:pStyle w:val="TableContents"/>
              <w:bidi w:val="0"/>
              <w:spacing w:before="0" w:after="283"/>
              <w:jc w:val="left"/>
              <w:rPr/>
            </w:pPr>
            <w:r>
              <w:rPr/>
              <w:t> </w:t>
            </w:r>
          </w:p>
        </w:tc>
      </w:tr>
      <w:tr>
        <w:trPr/>
        <w:tc>
          <w:tcPr>
            <w:tcW w:w="3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4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024" w:type="dxa"/>
            <w:tcBorders/>
            <w:shd w:fill="CCEEFF" w:val="clear"/>
            <w:vAlign w:val="bottom"/>
          </w:tcPr>
          <w:p>
            <w:pPr>
              <w:pStyle w:val="TableContents"/>
              <w:bidi w:val="0"/>
              <w:spacing w:before="0" w:after="283"/>
              <w:jc w:val="right"/>
              <w:rPr/>
            </w:pPr>
            <w:r>
              <w:rPr/>
              <w:t>1,043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238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1,095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277</w:t>
            </w:r>
          </w:p>
        </w:tc>
        <w:tc>
          <w:tcPr>
            <w:tcW w:w="67" w:type="dxa"/>
            <w:tcBorders/>
            <w:shd w:fill="CCEEFF" w:val="clear"/>
            <w:vAlign w:val="bottom"/>
          </w:tcPr>
          <w:p>
            <w:pPr>
              <w:pStyle w:val="TableContents"/>
              <w:bidi w:val="0"/>
              <w:spacing w:before="0" w:after="283"/>
              <w:jc w:val="left"/>
              <w:rPr/>
            </w:pPr>
            <w:r>
              <w:rPr/>
              <w:t> </w:t>
            </w:r>
          </w:p>
        </w:tc>
      </w:tr>
      <w:tr>
        <w:trPr/>
        <w:tc>
          <w:tcPr>
            <w:tcW w:w="3506" w:type="dxa"/>
            <w:tcBorders/>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14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934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1,116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913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1,175</w:t>
            </w:r>
          </w:p>
        </w:tc>
        <w:tc>
          <w:tcPr>
            <w:tcW w:w="67" w:type="dxa"/>
            <w:tcBorders/>
            <w:vAlign w:val="bottom"/>
          </w:tcPr>
          <w:p>
            <w:pPr>
              <w:pStyle w:val="TableContents"/>
              <w:bidi w:val="0"/>
              <w:spacing w:before="0" w:after="283"/>
              <w:jc w:val="left"/>
              <w:rPr/>
            </w:pPr>
            <w:r>
              <w:rPr/>
              <w:t> </w:t>
            </w:r>
          </w:p>
        </w:tc>
      </w:tr>
      <w:tr>
        <w:trPr/>
        <w:tc>
          <w:tcPr>
            <w:tcW w:w="3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Kingdom</w:t>
            </w:r>
          </w:p>
        </w:tc>
        <w:tc>
          <w:tcPr>
            <w:tcW w:w="14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269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321</w:t>
            </w:r>
          </w:p>
        </w:tc>
        <w:tc>
          <w:tcPr>
            <w:tcW w:w="67" w:type="dxa"/>
            <w:tcBorders/>
            <w:shd w:fill="CCEEFF" w:val="clear"/>
            <w:vAlign w:val="bottom"/>
          </w:tcPr>
          <w:p>
            <w:pPr>
              <w:pStyle w:val="TableContents"/>
              <w:bidi w:val="0"/>
              <w:spacing w:before="0" w:after="283"/>
              <w:jc w:val="left"/>
              <w:rPr/>
            </w:pPr>
            <w:r>
              <w:rPr/>
              <w:t> </w:t>
            </w:r>
          </w:p>
        </w:tc>
      </w:tr>
      <w:tr>
        <w:trPr/>
        <w:tc>
          <w:tcPr>
            <w:tcW w:w="350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50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4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024" w:type="dxa"/>
            <w:tcBorders/>
            <w:vAlign w:val="bottom"/>
          </w:tcPr>
          <w:p>
            <w:pPr>
              <w:pStyle w:val="TableContents"/>
              <w:bidi w:val="0"/>
              <w:spacing w:before="0" w:after="283"/>
              <w:jc w:val="right"/>
              <w:rPr/>
            </w:pPr>
            <w:r>
              <w:rPr/>
              <w:t>2,054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1,623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023" w:type="dxa"/>
            <w:tcBorders/>
            <w:vAlign w:val="bottom"/>
          </w:tcPr>
          <w:p>
            <w:pPr>
              <w:pStyle w:val="TableContents"/>
              <w:bidi w:val="0"/>
              <w:spacing w:before="0" w:after="283"/>
              <w:jc w:val="right"/>
              <w:rPr/>
            </w:pPr>
            <w:r>
              <w:rPr/>
              <w:t>2,081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1,773</w:t>
            </w:r>
          </w:p>
        </w:tc>
        <w:tc>
          <w:tcPr>
            <w:tcW w:w="67" w:type="dxa"/>
            <w:tcBorders/>
            <w:vAlign w:val="bottom"/>
          </w:tcPr>
          <w:p>
            <w:pPr>
              <w:pStyle w:val="TableContents"/>
              <w:bidi w:val="0"/>
              <w:spacing w:before="0" w:after="283"/>
              <w:jc w:val="left"/>
              <w:rPr/>
            </w:pPr>
            <w:r>
              <w:rPr/>
              <w:t> </w:t>
            </w:r>
          </w:p>
        </w:tc>
      </w:tr>
      <w:tr>
        <w:trPr/>
        <w:tc>
          <w:tcPr>
            <w:tcW w:w="350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0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17.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computation of basic and dilutive net loss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49"/>
        <w:gridCol w:w="151"/>
        <w:gridCol w:w="140"/>
        <w:gridCol w:w="1106"/>
        <w:gridCol w:w="155"/>
        <w:gridCol w:w="151"/>
        <w:gridCol w:w="140"/>
        <w:gridCol w:w="1106"/>
        <w:gridCol w:w="157"/>
      </w:tblGrid>
      <w:tr>
        <w:trPr/>
        <w:tc>
          <w:tcPr>
            <w:tcW w:w="4649"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7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7" w:type="dxa"/>
            <w:tcBorders/>
            <w:vAlign w:val="bottom"/>
          </w:tcPr>
          <w:p>
            <w:pPr>
              <w:pStyle w:val="TableContents"/>
              <w:bidi w:val="0"/>
              <w:spacing w:before="0" w:after="283"/>
              <w:jc w:val="left"/>
              <w:rPr/>
            </w:pPr>
            <w:r>
              <w:rPr/>
              <w:t> </w:t>
            </w:r>
          </w:p>
        </w:tc>
      </w:tr>
      <w:tr>
        <w:trPr/>
        <w:tc>
          <w:tcPr>
            <w:tcW w:w="4649" w:type="dxa"/>
            <w:tcBorders/>
            <w:vAlign w:val="bottom"/>
          </w:tcPr>
          <w:p>
            <w:pPr>
              <w:pStyle w:val="TableContents"/>
              <w:bidi w:val="0"/>
              <w:spacing w:before="0" w:after="283"/>
              <w:jc w:val="left"/>
              <w:rPr>
                <w:i/>
              </w:rPr>
            </w:pPr>
            <w:r>
              <w:rPr>
                <w:i/>
              </w:rPr>
              <w:t>(Amounts in thousands, except share and per share amounts)</w:t>
            </w:r>
          </w:p>
        </w:tc>
        <w:tc>
          <w:tcPr>
            <w:tcW w:w="151"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rPr/>
            </w:pPr>
            <w:r>
              <w:rPr/>
              <w:t> </w:t>
            </w:r>
          </w:p>
        </w:tc>
      </w:tr>
      <w:tr>
        <w:trPr/>
        <w:tc>
          <w:tcPr>
            <w:tcW w:w="46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4649"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(147,761</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(16,743</w:t>
            </w:r>
          </w:p>
        </w:tc>
        <w:tc>
          <w:tcPr>
            <w:tcW w:w="157" w:type="dxa"/>
            <w:tcBorders/>
            <w:vAlign w:val="bottom"/>
          </w:tcPr>
          <w:p>
            <w:pPr>
              <w:pStyle w:val="TableContents"/>
              <w:bidi w:val="0"/>
              <w:spacing w:before="0" w:after="283"/>
              <w:jc w:val="left"/>
              <w:rPr/>
            </w:pPr>
            <w:r>
              <w:rPr/>
              <w:t>) </w:t>
            </w:r>
          </w:p>
        </w:tc>
      </w:tr>
      <w:tr>
        <w:trPr/>
        <w:tc>
          <w:tcPr>
            <w:tcW w:w="46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464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outstanding, basic and diluted</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91,747,685</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13,613,270</w:t>
            </w:r>
          </w:p>
        </w:tc>
        <w:tc>
          <w:tcPr>
            <w:tcW w:w="157" w:type="dxa"/>
            <w:tcBorders/>
            <w:vAlign w:val="bottom"/>
          </w:tcPr>
          <w:p>
            <w:pPr>
              <w:pStyle w:val="TableContents"/>
              <w:bidi w:val="0"/>
              <w:spacing w:before="0" w:after="283"/>
              <w:jc w:val="left"/>
              <w:rPr/>
            </w:pPr>
            <w:r>
              <w:rPr/>
              <w:t> </w:t>
            </w:r>
          </w:p>
        </w:tc>
      </w:tr>
      <w:tr>
        <w:trPr/>
        <w:tc>
          <w:tcPr>
            <w:tcW w:w="4649"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6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(1.61</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(1.23</w:t>
            </w:r>
          </w:p>
        </w:tc>
        <w:tc>
          <w:tcPr>
            <w:tcW w:w="157" w:type="dxa"/>
            <w:tcBorders/>
            <w:shd w:fill="CCEEFF" w:val="clear"/>
            <w:vAlign w:val="bottom"/>
          </w:tcPr>
          <w:p>
            <w:pPr>
              <w:pStyle w:val="TableContents"/>
              <w:bidi w:val="0"/>
              <w:spacing w:before="0" w:after="283"/>
              <w:jc w:val="left"/>
              <w:rPr/>
            </w:pPr>
            <w:r>
              <w:rPr/>
              <w:t>) </w:t>
            </w:r>
          </w:p>
        </w:tc>
      </w:tr>
      <w:tr>
        <w:trPr/>
        <w:tc>
          <w:tcPr>
            <w:tcW w:w="4649"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sz w:val="20"/>
        </w:rPr>
      </w:pPr>
      <w:r>
        <w:rPr>
          <w:rFonts w:ascii="Times New Roman" w:hAnsi="Times New Roman"/>
          <w:b/>
          <w:sz w:val="20"/>
        </w:rPr>
        <w:t xml:space="preserve">NOTES TO THE CONDENSED CONSOLIDATED FINANCIAL STATEMENTS </w:t>
      </w:r>
      <w:r>
        <w:rPr>
          <w:rFonts w:ascii="Times New Roman" w:hAnsi="Times New Roman"/>
          <w:i/>
          <w:sz w:val="20"/>
        </w:rPr>
        <w:t>(cont.)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potentially dilutive securities were excluded from the calculation of diluted net loss per share attributable to common shareholders for the periods presented because the impact of including them would have been anti-dilutive: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851"/>
        <w:gridCol w:w="167"/>
        <w:gridCol w:w="78"/>
        <w:gridCol w:w="1434"/>
        <w:gridCol w:w="78"/>
        <w:gridCol w:w="202"/>
        <w:gridCol w:w="78"/>
        <w:gridCol w:w="1436"/>
        <w:gridCol w:w="64"/>
      </w:tblGrid>
      <w:tr>
        <w:trPr/>
        <w:tc>
          <w:tcPr>
            <w:tcW w:w="5851"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5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33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4" w:type="dxa"/>
            <w:tcBorders/>
            <w:vAlign w:val="bottom"/>
          </w:tcPr>
          <w:p>
            <w:pPr>
              <w:pStyle w:val="TableContents"/>
              <w:bidi w:val="0"/>
              <w:spacing w:before="0" w:after="283"/>
              <w:jc w:val="left"/>
              <w:rPr/>
            </w:pPr>
            <w:r>
              <w:rPr/>
              <w:t> </w:t>
            </w:r>
          </w:p>
        </w:tc>
      </w:tr>
      <w:tr>
        <w:trPr/>
        <w:tc>
          <w:tcPr>
            <w:tcW w:w="585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8"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4" w:type="dxa"/>
            <w:tcBorders/>
            <w:shd w:fill="CCEEFF" w:val="clear"/>
            <w:vAlign w:val="bottom"/>
          </w:tcPr>
          <w:p>
            <w:pPr>
              <w:pStyle w:val="TableContents"/>
              <w:bidi w:val="0"/>
              <w:spacing w:before="0" w:after="283"/>
              <w:jc w:val="right"/>
              <w:rPr/>
            </w:pPr>
            <w:r>
              <w:rPr/>
              <w:t>28,042,235</w:t>
            </w:r>
          </w:p>
        </w:tc>
        <w:tc>
          <w:tcPr>
            <w:tcW w:w="78"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6" w:type="dxa"/>
            <w:tcBorders/>
            <w:shd w:fill="CCEEFF" w:val="clear"/>
            <w:vAlign w:val="bottom"/>
          </w:tcPr>
          <w:p>
            <w:pPr>
              <w:pStyle w:val="TableContents"/>
              <w:bidi w:val="0"/>
              <w:spacing w:before="0" w:after="283"/>
              <w:jc w:val="right"/>
              <w:rPr/>
            </w:pPr>
            <w:r>
              <w:rPr/>
              <w:t>12,819,685</w:t>
            </w:r>
          </w:p>
        </w:tc>
        <w:tc>
          <w:tcPr>
            <w:tcW w:w="64" w:type="dxa"/>
            <w:tcBorders/>
            <w:shd w:fill="CCEEFF" w:val="clear"/>
            <w:vAlign w:val="bottom"/>
          </w:tcPr>
          <w:p>
            <w:pPr>
              <w:pStyle w:val="TableContents"/>
              <w:bidi w:val="0"/>
              <w:spacing w:before="0" w:after="283"/>
              <w:jc w:val="left"/>
              <w:rPr/>
            </w:pPr>
            <w:r>
              <w:rPr/>
              <w:t> </w:t>
            </w:r>
          </w:p>
        </w:tc>
      </w:tr>
      <w:tr>
        <w:trPr/>
        <w:tc>
          <w:tcPr>
            <w:tcW w:w="585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34" w:type="dxa"/>
            <w:tcBorders/>
            <w:vAlign w:val="bottom"/>
          </w:tcPr>
          <w:p>
            <w:pPr>
              <w:pStyle w:val="TableContents"/>
              <w:bidi w:val="0"/>
              <w:spacing w:before="0" w:after="283"/>
              <w:jc w:val="right"/>
              <w:rPr/>
            </w:pPr>
            <w:r>
              <w:rPr/>
              <w:t>1,150,724</w:t>
            </w:r>
          </w:p>
        </w:tc>
        <w:tc>
          <w:tcPr>
            <w:tcW w:w="78"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36" w:type="dxa"/>
            <w:tcBorders/>
            <w:vAlign w:val="bottom"/>
          </w:tcPr>
          <w:p>
            <w:pPr>
              <w:pStyle w:val="TableContents"/>
              <w:bidi w:val="0"/>
              <w:spacing w:before="0" w:after="283"/>
              <w:jc w:val="right"/>
              <w:rPr/>
            </w:pPr>
            <w:r>
              <w:rPr/>
              <w:t>3,801,970</w:t>
            </w:r>
          </w:p>
        </w:tc>
        <w:tc>
          <w:tcPr>
            <w:tcW w:w="64" w:type="dxa"/>
            <w:tcBorders/>
            <w:vAlign w:val="bottom"/>
          </w:tcPr>
          <w:p>
            <w:pPr>
              <w:pStyle w:val="TableContents"/>
              <w:bidi w:val="0"/>
              <w:spacing w:before="0" w:after="283"/>
              <w:jc w:val="left"/>
              <w:rPr/>
            </w:pPr>
            <w:r>
              <w:rPr/>
              <w:t> </w:t>
            </w:r>
          </w:p>
        </w:tc>
      </w:tr>
      <w:tr>
        <w:trPr/>
        <w:tc>
          <w:tcPr>
            <w:tcW w:w="5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4" w:type="dxa"/>
            <w:tcBorders/>
            <w:shd w:fill="CCEEFF" w:val="clear"/>
            <w:vAlign w:val="bottom"/>
          </w:tcPr>
          <w:p>
            <w:pPr>
              <w:pStyle w:val="TableContents"/>
              <w:bidi w:val="0"/>
              <w:spacing w:before="0" w:after="283"/>
              <w:jc w:val="right"/>
              <w:rPr/>
            </w:pPr>
            <w:r>
              <w:rPr/>
              <w:t>50,000</w:t>
            </w:r>
          </w:p>
        </w:tc>
        <w:tc>
          <w:tcPr>
            <w:tcW w:w="78"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851" w:type="dxa"/>
            <w:tcBorders/>
          </w:tcPr>
          <w:p>
            <w:pPr>
              <w:pStyle w:val="TableContents"/>
              <w:bidi w:val="0"/>
              <w:spacing w:before="0" w:after="0"/>
              <w:jc w:val="left"/>
              <w:rPr>
                <w:rFonts w:ascii="Times New Roman" w:hAnsi="Times New Roman"/>
                <w:sz w:val="20"/>
              </w:rPr>
            </w:pPr>
            <w:r>
              <w:rPr>
                <w:rFonts w:ascii="Times New Roman" w:hAnsi="Times New Roman"/>
                <w:sz w:val="20"/>
              </w:rPr>
              <w:t>Public warrants</w:t>
            </w:r>
          </w:p>
        </w:tc>
        <w:tc>
          <w:tcPr>
            <w:tcW w:w="1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34" w:type="dxa"/>
            <w:tcBorders/>
            <w:vAlign w:val="bottom"/>
          </w:tcPr>
          <w:p>
            <w:pPr>
              <w:pStyle w:val="TableContents"/>
              <w:bidi w:val="0"/>
              <w:spacing w:before="0" w:after="283"/>
              <w:jc w:val="right"/>
              <w:rPr/>
            </w:pPr>
            <w:r>
              <w:rPr/>
              <w:t>28,750,000</w:t>
            </w:r>
          </w:p>
        </w:tc>
        <w:tc>
          <w:tcPr>
            <w:tcW w:w="78"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3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Private warrants</w:t>
            </w:r>
          </w:p>
        </w:tc>
        <w:tc>
          <w:tcPr>
            <w:tcW w:w="1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4" w:type="dxa"/>
            <w:tcBorders/>
            <w:shd w:fill="CCEEFF" w:val="clear"/>
            <w:vAlign w:val="bottom"/>
          </w:tcPr>
          <w:p>
            <w:pPr>
              <w:pStyle w:val="TableContents"/>
              <w:bidi w:val="0"/>
              <w:spacing w:before="0" w:after="283"/>
              <w:jc w:val="right"/>
              <w:rPr/>
            </w:pPr>
            <w:r>
              <w:rPr/>
              <w:t>898,250</w:t>
            </w:r>
          </w:p>
        </w:tc>
        <w:tc>
          <w:tcPr>
            <w:tcW w:w="78"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851"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434"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43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851" w:type="dxa"/>
            <w:tcBorders/>
          </w:tcPr>
          <w:p>
            <w:pPr>
              <w:pStyle w:val="TableContents"/>
              <w:bidi w:val="0"/>
              <w:spacing w:before="0" w:after="0"/>
              <w:jc w:val="left"/>
              <w:rPr>
                <w:rFonts w:ascii="Times New Roman" w:hAnsi="Times New Roman"/>
                <w:sz w:val="20"/>
              </w:rPr>
            </w:pPr>
            <w:r>
              <w:rPr>
                <w:rFonts w:ascii="Times New Roman" w:hAnsi="Times New Roman"/>
                <w:sz w:val="20"/>
              </w:rPr>
              <w:t>Total potentially dilutive shares</w:t>
            </w:r>
          </w:p>
        </w:tc>
        <w:tc>
          <w:tcPr>
            <w:tcW w:w="1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34" w:type="dxa"/>
            <w:tcBorders/>
            <w:vAlign w:val="bottom"/>
          </w:tcPr>
          <w:p>
            <w:pPr>
              <w:pStyle w:val="TableContents"/>
              <w:bidi w:val="0"/>
              <w:spacing w:before="0" w:after="283"/>
              <w:jc w:val="right"/>
              <w:rPr/>
            </w:pPr>
            <w:r>
              <w:rPr/>
              <w:t>58,891,209</w:t>
            </w:r>
          </w:p>
        </w:tc>
        <w:tc>
          <w:tcPr>
            <w:tcW w:w="78"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36" w:type="dxa"/>
            <w:tcBorders/>
            <w:vAlign w:val="bottom"/>
          </w:tcPr>
          <w:p>
            <w:pPr>
              <w:pStyle w:val="TableContents"/>
              <w:bidi w:val="0"/>
              <w:spacing w:before="0" w:after="283"/>
              <w:jc w:val="right"/>
              <w:rPr/>
            </w:pPr>
            <w:r>
              <w:rPr/>
              <w:t>16,621,655</w:t>
            </w:r>
          </w:p>
        </w:tc>
        <w:tc>
          <w:tcPr>
            <w:tcW w:w="64" w:type="dxa"/>
            <w:tcBorders/>
            <w:vAlign w:val="bottom"/>
          </w:tcPr>
          <w:p>
            <w:pPr>
              <w:pStyle w:val="TableContents"/>
              <w:bidi w:val="0"/>
              <w:spacing w:before="0" w:after="283"/>
              <w:jc w:val="left"/>
              <w:rPr/>
            </w:pPr>
            <w:r>
              <w:rPr/>
              <w:t> </w:t>
            </w:r>
          </w:p>
        </w:tc>
      </w:tr>
      <w:tr>
        <w:trPr/>
        <w:tc>
          <w:tcPr>
            <w:tcW w:w="5851"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434" w:type="dxa"/>
            <w:tcBorders/>
            <w:vAlign w:val="bottom"/>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43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Note 18. Employee Benefit Plan </w:t>
      </w:r>
    </w:p>
    <w:p>
      <w:pPr>
        <w:pStyle w:val="TextBody"/>
        <w:bidi w:val="0"/>
        <w:spacing w:before="120" w:after="0"/>
        <w:jc w:val="left"/>
        <w:rPr>
          <w:rFonts w:ascii="Times New Roman" w:hAnsi="Times New Roman"/>
          <w:sz w:val="20"/>
        </w:rPr>
      </w:pPr>
      <w:r>
        <w:rPr>
          <w:rFonts w:ascii="Times New Roman" w:hAnsi="Times New Roman"/>
          <w:sz w:val="20"/>
        </w:rPr>
        <w:t xml:space="preserve">A 401(k) plan is provided that covers substantially all employees in the US meeting certain age and service requirements. The Company makes discretionary contributions to the 401(k) plan. The Company operates a defined contribution pension scheme in the UK for employees and makes employer contributions to this scheme on behalf of those employees. The Company recorded $0.2 million and $0.1 million in contributions to both plans during the three months ended March 31, 2025 and 2024,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Long-term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its employees in India an opportunity to participate in a long term defined benefits plan, and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condensed consolidated statement of operations. The expected return on plan assets is based on the assumed rate of return of such assets. As of March 31, 2025 and December 31, 2024, the related liability is included within accrued compensation on the condensed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Note 19.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through the date on which these condensed consolidated financial statements were available to be issued, and determined that the following subsequent events, other than those disclosed elsewhere in the condensed consolidated financial statements, are reportable: </w:t>
      </w:r>
    </w:p>
    <w:p>
      <w:pPr>
        <w:pStyle w:val="TextBody"/>
        <w:bidi w:val="0"/>
        <w:spacing w:before="120" w:after="0"/>
        <w:jc w:val="left"/>
        <w:rPr>
          <w:rFonts w:ascii="Times New Roman" w:hAnsi="Times New Roman"/>
          <w:sz w:val="20"/>
        </w:rPr>
      </w:pPr>
      <w:r>
        <w:rPr>
          <w:rFonts w:ascii="Times New Roman" w:hAnsi="Times New Roman"/>
          <w:sz w:val="20"/>
        </w:rPr>
        <w:t xml:space="preserve">On April 11, 2025, the Company entered into an advisory agreement for future services. The terms of the agreement require a non-refundable advisory fee of $2.0 million paid upon execution of the contract in the form of 769,231 shares of common stock (the Fee Shares). The Fee Shares are subject to a one-year lock up provision (the Lock-Up Period) which expires the earlier of one year from the date of the agreement or the date of a change of control as defined in the agreement. Prior to the expiration of the lock-up period, the advisor may sell the common stock shares back to us or an affiliate as defined in Rule 405 under the Securities Act. The Fee Shares subject to the lock-up provision are subject to adjustment if the dollar volume-weighted average price for the Companys common stock (VWAP) 20 out of any 30 trading Days is at least $7.00 per share, then the Lock-Up Period shall be terminated with respect to fifty percent of the shares to be issued for the fee. Furthermore, if the VWAP of the common stock for 20 out of any 30 Trading Days is at least $10.00 per share, then the Lock-Up Period shall be terminated with respect to the other fifty percent of the Fee Shares, rounded up.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 w:name="l10q63969_8"/>
      <w:bookmarkEnd w:id="10"/>
      <w:r>
        <w:rPr>
          <w:rFonts w:ascii="Times New Roman" w:hAnsi="Times New Roman"/>
          <w:b/>
          <w:sz w:val="20"/>
        </w:rPr>
        <w:t xml:space="preserve">Item 2. Managements Discussion and Analysis of Financial Condition and 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condensed consolidated financial statements and related notes thereto, included in Part 1. Item 1. of this Quarterly Report, risk factors, included in Part 2. Item 1A. of this Quarterly Report, and the information included in our Current Report on Form 8-K/A, as filed with the SEC on April 15, 2025.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Blaize is a provider of purpose-built, transformative artificial intelligence (AI)-enabled edge computing solutions that unite software and silicon to optimize AI from the edge to the core. 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Our mission is to enable enterprises to harness the power of AI at the edge, delivering real-time insights and decision- making capabilities with compelling speed and efficiency. With our innovative hardware and software solutions, we believe we are at the forefront of transforming industries and unlocking new possibilities in an increasingly connected and data-driven world. </w:t>
      </w:r>
    </w:p>
    <w:p>
      <w:pPr>
        <w:pStyle w:val="TextBody"/>
        <w:bidi w:val="0"/>
        <w:spacing w:before="240" w:after="0"/>
        <w:jc w:val="left"/>
        <w:rPr>
          <w:rFonts w:ascii="Times New Roman" w:hAnsi="Times New Roman"/>
          <w:sz w:val="20"/>
        </w:rPr>
      </w:pPr>
      <w:r>
        <w:rPr>
          <w:rFonts w:ascii="Times New Roman" w:hAnsi="Times New Roman"/>
          <w:sz w:val="20"/>
        </w:rPr>
        <w:t xml:space="preserve">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 time insights and decision-making capabilities with substantial speed and efficiency. </w:t>
      </w:r>
    </w:p>
    <w:p>
      <w:pPr>
        <w:pStyle w:val="TextBody"/>
        <w:bidi w:val="0"/>
        <w:spacing w:before="240" w:after="0"/>
        <w:jc w:val="left"/>
        <w:rPr>
          <w:rFonts w:ascii="Times New Roman" w:hAnsi="Times New Roman"/>
          <w:sz w:val="20"/>
        </w:rPr>
      </w:pPr>
      <w:r>
        <w:rPr>
          <w:rFonts w:ascii="Times New Roman" w:hAnsi="Times New Roman"/>
          <w:sz w:val="20"/>
        </w:rPr>
        <w:t xml:space="preserve">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Merger and Reverse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(the Closing Date), we consummated the transactions (the Merger) contemplated by the Agreement and Plan of Merger dated December 22, 2023 (as amended on April 22, 2024, October 24, 2024 and November 21, 2024) with BurTech Acquisition Corp (BurTech), BurTech Merger Sub, Inc (Merger Sub), Blaize, Inc. (Legacy Blaize), and solely for the limited purposes of the transaction, Burkhan Capital LLC (Burkhan), a Delaware limited liability company and affiliate of BurTech, On the Closing Date, Merger Sub merged with and into Legacy Blaize, with Legacy Blaize surviving the Business Combination as a wholly owned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Merger is accounted for as a reverse recapitalization, with BurTech being treated as the acquired company and Legacy Blaize was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Legacy Blaize Redeemable Convertible Preferred Stock, Convertible Promissory Notes and Warrants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closing of the Merger, all outstanding convertible notes, inclusive of accrued and unpaid interest, each of the issued and outstanding shares of redeemable convertible preferred stock, and all outstanding warrants of Legacy Blaize were automatically converted into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restricted stock unit (RSU) was converted into an RSU of the Company, upon substantially the same terms and conditions as in effect with respect to the corresponding Legacy Blaize RSU, and the right to receive a number of earnout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Arrangements entered into at time of Merger or assumed upon the consummation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Public and Private Placement Warrants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Merger, BurTechs 28,750,000 public warrants and 898,250 private warrants, both outstanding immediately prior to the consummation of the Merger, became warrants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Shareholder Note Receivable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Merger, BurTech LP, LLC (BurTech LP) issued a secured promissory note and pledge agreement (the Shareholder Note) to BurTech in the principal amount of $8,753,744 in exchange for 750,000 shares of Company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 </w:t>
      </w:r>
    </w:p>
    <w:p>
      <w:pPr>
        <w:pStyle w:val="TextBody"/>
        <w:bidi w:val="0"/>
        <w:spacing w:before="360" w:after="0"/>
        <w:jc w:val="left"/>
        <w:rPr>
          <w:rFonts w:ascii="Times New Roman" w:hAnsi="Times New Roman"/>
          <w:i/>
          <w:sz w:val="20"/>
        </w:rPr>
      </w:pPr>
      <w:r>
        <w:rPr>
          <w:rFonts w:ascii="Times New Roman" w:hAnsi="Times New Roman"/>
          <w:i/>
          <w:sz w:val="20"/>
        </w:rPr>
        <w:t xml:space="preserve">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On the Closing Date, in connection with the consummation of the Business Combination and as contemplated by the Merger Agreement, we entered into lock-up agreements (the Lock-up Agreements) with (i) certain of Blaizes directors and officers, (ii) certain stockholders of Blaize and (iii) Burkhan, in each case, restricting the transfer of Company common stock and any shares of Company common stock issuable upon the exercise or settlement, as applicable, of stock options or restricted stock units held immediately after the Merger. The restrictions under the Lock-up Agreements began at Closing and end on the earlier of (x) the date that is 180 days after the Closing Date, (y) the last reported sale price of Blaize common stock reaching $12.00 per share (as adjusted for stock splits, stock dividends, reorganizations, recapitalizations and the like) for any 20 trading days within any 30-trading day period commencing at least 150 days after the Closing and (z) the liquidation of Blaize. </w:t>
      </w:r>
    </w:p>
    <w:p>
      <w:pPr>
        <w:pStyle w:val="TextBody"/>
        <w:bidi w:val="0"/>
        <w:spacing w:before="360" w:after="0"/>
        <w:jc w:val="left"/>
        <w:rPr>
          <w:rFonts w:ascii="Times New Roman" w:hAnsi="Times New Roman"/>
          <w:i/>
          <w:sz w:val="20"/>
        </w:rPr>
      </w:pPr>
      <w:r>
        <w:rPr>
          <w:rFonts w:ascii="Times New Roman" w:hAnsi="Times New Roman"/>
          <w:i/>
          <w:sz w:val="20"/>
        </w:rPr>
        <w:t xml:space="preserve">Non-Redemption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31, 2024 and through January 13, 2025, BurTech, BurTech LP and Legacy Blaize entered into agreements (each, a Non-Redemption Agreement and collectively, the Non-Redemption Agreements) with one or more unaffiliated stockholders of BurTech (each, an Investor) who agreed not to redeem (or validly rescind any redemption requests on) their shares of BurTech Class A common stock, par value $0.0001 per share of the Company (Non-Redeemed Shares). On the Closing Date, such Class A common stock shares were exchanged for shares of the Companys common stock and placed into an escrow account. In exchange for the foregoing commitments not to redeem the Non-Redeemed Shares, the Company and BurTech LP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Entering into the Non-Redemption Agreement is expected to increase the amount of funds that remain in the Companys trust account following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From December 31, 2024 and through January 13, 2025, BurTech and certain other subscribers (collectively, the Subscribers) entered into subscription agreements under which BurTech agreed to issue and sell to the Subscribers, immediately before the Closing Date, 1,529,500 shares of BurTechs Class A common stock, par value $0.0001 per share (PIPE Shares) at a purchase price of $10.00 per share for an aggregate purchase price of $15,295,000, in a private placement. Such PIPE shares that were outstanding immediately prior to the Merger became shares of Company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Earnout Arrangement </w:t>
      </w:r>
    </w:p>
    <w:p>
      <w:pPr>
        <w:pStyle w:val="TextBody"/>
        <w:bidi w:val="0"/>
        <w:spacing w:before="120" w:after="0"/>
        <w:jc w:val="left"/>
        <w:rPr>
          <w:rFonts w:ascii="Times New Roman" w:hAnsi="Times New Roman"/>
          <w:sz w:val="20"/>
        </w:rPr>
      </w:pPr>
      <w:r>
        <w:rPr>
          <w:rFonts w:ascii="Times New Roman" w:hAnsi="Times New Roman"/>
          <w:sz w:val="20"/>
        </w:rPr>
        <w:t xml:space="preserve">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our closing share price on 20 trading days out of 30 consecutive trading days equals or exceeds defined per share thresholds in each tranche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common stock price is greater than or equal to $12.50 per share, 3,750,000 Earnout Shares will be issued;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common stock price is greater than or equal to $15.00 per share, an additional 3,750,000 Earnout Shares will be issued;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common stock price is greater than or equal to $17.50 per share, an additional 3,750,000 Earnout Shares will be issued;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common stock price is greater than or equal to $20.00 per share, an additional 3,750,000 Earnout Shares will be issued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Employees entitled to receive Earnout Shares with respect to options and RSUs, must provide service through the date the target is achieved and if an employee departs, the Earnout Shares are reallocated to the remaining pool of recipients who received the right to the Earnout Shares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Additionally, Burkhan has the right to receive up to an aggregate amount of 2,600,000 shares of Blaize Class A Common Stock, 650,000 following the occurrence of each of the Triggering Events stated above (the Burkhan Earnout Shares). </w:t>
      </w:r>
    </w:p>
    <w:p>
      <w:pPr>
        <w:pStyle w:val="TextBody"/>
        <w:bidi w:val="0"/>
        <w:spacing w:before="360" w:after="0"/>
        <w:jc w:val="left"/>
        <w:rPr>
          <w:rFonts w:ascii="Times New Roman" w:hAnsi="Times New Roman"/>
          <w:b/>
          <w:sz w:val="20"/>
        </w:rPr>
      </w:pPr>
      <w:r>
        <w:rPr>
          <w:rFonts w:ascii="Times New Roman" w:hAnsi="Times New Roman"/>
          <w:b/>
          <w:sz w:val="20"/>
        </w:rPr>
        <w:t xml:space="preserve">Key Business Metrics </w:t>
      </w:r>
    </w:p>
    <w:p>
      <w:pPr>
        <w:pStyle w:val="TextBody"/>
        <w:bidi w:val="0"/>
        <w:spacing w:before="120" w:after="0"/>
        <w:jc w:val="left"/>
        <w:rPr>
          <w:rFonts w:ascii="Times New Roman" w:hAnsi="Times New Roman"/>
          <w:b/>
          <w:i/>
          <w:sz w:val="20"/>
        </w:rPr>
      </w:pPr>
      <w:r>
        <w:rPr>
          <w:rFonts w:ascii="Times New Roman" w:hAnsi="Times New Roman"/>
          <w:b/>
          <w:i/>
          <w:sz w:val="20"/>
        </w:rPr>
        <w:t xml:space="preserve">Pipeline </w:t>
      </w:r>
    </w:p>
    <w:p>
      <w:pPr>
        <w:pStyle w:val="TextBody"/>
        <w:bidi w:val="0"/>
        <w:spacing w:before="120" w:after="0"/>
        <w:jc w:val="left"/>
        <w:rPr>
          <w:rFonts w:ascii="Times New Roman" w:hAnsi="Times New Roman"/>
          <w:sz w:val="20"/>
        </w:rPr>
      </w:pPr>
      <w:r>
        <w:rPr>
          <w:rFonts w:ascii="Times New Roman" w:hAnsi="Times New Roman"/>
          <w:sz w:val="20"/>
        </w:rPr>
        <w:t xml:space="preserve">We have identified a potential $458 million of future business opportunities that could significantly accelerate growth through near-term customer implementations. Although Blaize is under no contractual arrangement(s) with respect to such pipeline and there is no assurance of a future contractual arrangement, the pipeline contains target accounts and opportunities that have been identified and verified as potential customers for Blaize products and services. We classify certain key metrics related to our pipeline into the following categories: proof of concept stage, partners and design wins.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Proof of Concept Stage </w:t>
      </w:r>
    </w:p>
    <w:p>
      <w:pPr>
        <w:pStyle w:val="TextBody"/>
        <w:bidi w:val="0"/>
        <w:spacing w:before="120" w:after="0"/>
        <w:jc w:val="left"/>
        <w:rPr>
          <w:rFonts w:ascii="Times New Roman" w:hAnsi="Times New Roman"/>
          <w:sz w:val="20"/>
        </w:rPr>
      </w:pPr>
      <w:r>
        <w:rPr>
          <w:rFonts w:ascii="Times New Roman" w:hAnsi="Times New Roman"/>
          <w:sz w:val="20"/>
        </w:rPr>
        <w:t xml:space="preserve">A proof-of-concept stage (POC) represents that a proposal for a proof of concept has either been initiated or is in progress with a potential customer or partner. We utilize POCs to demonstrate the Blaize technologys significant value proposition along with its tailored use scenarios and satisfaction of customer and/or partner requirements. As of March 31, 2025, a total of 40 POCs have been initiated or are in progress with a potential customer.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Partners </w:t>
      </w:r>
    </w:p>
    <w:p>
      <w:pPr>
        <w:pStyle w:val="TextBody"/>
        <w:bidi w:val="0"/>
        <w:spacing w:before="120" w:after="0"/>
        <w:jc w:val="left"/>
        <w:rPr>
          <w:rFonts w:ascii="Times New Roman" w:hAnsi="Times New Roman"/>
          <w:sz w:val="20"/>
        </w:rPr>
      </w:pPr>
      <w:r>
        <w:rPr>
          <w:rFonts w:ascii="Times New Roman" w:hAnsi="Times New Roman"/>
          <w:sz w:val="20"/>
        </w:rPr>
        <w:t xml:space="preserve">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March 31, 2025, Blaize has a total of 34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Design Wins </w:t>
      </w:r>
    </w:p>
    <w:p>
      <w:pPr>
        <w:pStyle w:val="TextBody"/>
        <w:bidi w:val="0"/>
        <w:spacing w:before="120" w:after="0"/>
        <w:jc w:val="left"/>
        <w:rPr>
          <w:rFonts w:ascii="Times New Roman" w:hAnsi="Times New Roman"/>
          <w:sz w:val="20"/>
        </w:rPr>
      </w:pPr>
      <w:r>
        <w:rPr>
          <w:rFonts w:ascii="Times New Roman" w:hAnsi="Times New Roman"/>
          <w:sz w:val="20"/>
        </w:rPr>
        <w:t xml:space="preserve">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March 31, 2025, a total of 21 Design Wins have been confirmed with a Partner or customer.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currently derive revenue through a combination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Engineering services revenue, this involves providing customized design services to our customers, tailored to their specific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Hardware revenue  this encompasses the sale of our semiconductor products through various supply agreements.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(exclusive of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(exclusive of depreciation and amortization) is primarily comprised of the cost of semiconductors purchased from subcontractors, including wafer fabrication, assembly, testing and packaging, board and device costs as well as indirect costs such as inventory carrying costs and inventory valuation reserves. In addition, cost of revenue (exclusive of depreciation and amortization) also includes direct labor costs associated with the servicing of our engineering services revenue contracts.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 primarily consists of personnel-related expenses for our finance human resources, information technology, and legal organizations. These expenses also include non- personnel costs, such as legal, audit, accounting services, advertising expenses, other professional fees as well as certain tax, corporate software licenses, and insurance-related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consists of depreciation and amortization on long-lived assets such as computer equipment, capitalized software licenses, furniture and fixtures, leasehold improvements, office equipment and vehicles.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 costs primarily consist of direct incremental legal, consulting and banking fees primarily related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set forth Blaizes condensed consolidated statements of operations data for the three months ended March 31, 2025 and 2024, respectively, as well as changes between periods. The period-to-period comparison of financial results is not necessarily indicative of future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44"/>
        <w:gridCol w:w="267"/>
        <w:gridCol w:w="326"/>
        <w:gridCol w:w="1311"/>
        <w:gridCol w:w="139"/>
        <w:gridCol w:w="413"/>
        <w:gridCol w:w="326"/>
        <w:gridCol w:w="889"/>
        <w:gridCol w:w="60"/>
        <w:gridCol w:w="267"/>
        <w:gridCol w:w="140"/>
        <w:gridCol w:w="380"/>
        <w:gridCol w:w="60"/>
        <w:gridCol w:w="266"/>
        <w:gridCol w:w="60"/>
        <w:gridCol w:w="260"/>
        <w:gridCol w:w="280"/>
      </w:tblGrid>
      <w:tr>
        <w:trPr/>
        <w:tc>
          <w:tcPr>
            <w:tcW w:w="3944"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94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34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1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0" w:type="dxa"/>
            <w:tcBorders/>
            <w:vAlign w:val="bottom"/>
          </w:tcPr>
          <w:p>
            <w:pPr>
              <w:pStyle w:val="TableContents"/>
              <w:bidi w:val="0"/>
              <w:spacing w:before="0" w:after="283"/>
              <w:jc w:val="left"/>
              <w:rPr/>
            </w:pPr>
            <w:r>
              <w:rPr/>
              <w:t> </w:t>
            </w:r>
          </w:p>
        </w:tc>
      </w:tr>
      <w:tr>
        <w:trPr/>
        <w:tc>
          <w:tcPr>
            <w:tcW w:w="3944" w:type="dxa"/>
            <w:tcBorders/>
            <w:vAlign w:val="bottom"/>
          </w:tcPr>
          <w:p>
            <w:pPr>
              <w:pStyle w:val="TableContents"/>
              <w:bidi w:val="0"/>
              <w:spacing w:before="0" w:after="283"/>
              <w:jc w:val="left"/>
              <w:rPr>
                <w:i/>
              </w:rPr>
            </w:pPr>
            <w:r>
              <w:rPr>
                <w:i/>
              </w:rPr>
              <w:t>(Amounts in thousands, except for percentages)</w:t>
            </w:r>
          </w:p>
        </w:tc>
        <w:tc>
          <w:tcPr>
            <w:tcW w:w="267" w:type="dxa"/>
            <w:tcBorders/>
            <w:vAlign w:val="bottom"/>
          </w:tcPr>
          <w:p>
            <w:pPr>
              <w:pStyle w:val="TableContents"/>
              <w:bidi w:val="0"/>
              <w:spacing w:before="0" w:after="283"/>
              <w:jc w:val="left"/>
              <w:rPr/>
            </w:pPr>
            <w:r>
              <w:rPr/>
              <w:t>  </w:t>
            </w:r>
          </w:p>
        </w:tc>
        <w:tc>
          <w:tcPr>
            <w:tcW w:w="16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9"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2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0" w:type="dxa"/>
            <w:tcBorders/>
            <w:vAlign w:val="bottom"/>
          </w:tcPr>
          <w:p>
            <w:pPr>
              <w:pStyle w:val="TableContents"/>
              <w:bidi w:val="0"/>
              <w:spacing w:before="0" w:after="283"/>
              <w:jc w:val="left"/>
              <w:rPr/>
            </w:pPr>
            <w:r>
              <w:rPr/>
              <w:t> </w:t>
            </w:r>
          </w:p>
        </w:tc>
      </w:tr>
      <w:tr>
        <w:trPr/>
        <w:tc>
          <w:tcPr>
            <w:tcW w:w="39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6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1,007</w:t>
            </w:r>
          </w:p>
        </w:tc>
        <w:tc>
          <w:tcPr>
            <w:tcW w:w="139"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549</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458</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right"/>
              <w:rPr/>
            </w:pPr>
            <w:r>
              <w:rPr/>
              <w:t>83</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 increased 83% to $1.0 million for the three months ended March 31, 2025 compared to approximately $0.5 million for the three months ended March 31, 2024. The increase was primarily due to sales of hardware product of $1.0 million, partially offset by a decrease of $0.5 million due to the end of our multi-year license and development contract with a strategic investor and the completion of a contract during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Blaizes revenue by customer geographical location: </w:t>
      </w:r>
    </w:p>
    <w:p>
      <w:pPr>
        <w:pStyle w:val="TextBody"/>
        <w:bidi w:val="0"/>
        <w:spacing w:before="0" w:after="0"/>
        <w:jc w:val="left"/>
        <w:rPr/>
      </w:pPr>
      <w:r>
        <w:rPr/>
        <w:t> </w:t>
      </w:r>
    </w:p>
    <w:tbl>
      <w:tblPr>
        <w:tblW w:w="9781" w:type="dxa"/>
        <w:jc w:val="center"/>
        <w:tblInd w:w="0" w:type="dxa"/>
        <w:tblLayout w:type="fixed"/>
        <w:tblCellMar>
          <w:top w:w="0" w:type="dxa"/>
          <w:left w:w="0" w:type="dxa"/>
          <w:bottom w:w="0" w:type="dxa"/>
          <w:right w:w="0" w:type="dxa"/>
        </w:tblCellMar>
      </w:tblPr>
      <w:tblGrid>
        <w:gridCol w:w="1160"/>
        <w:gridCol w:w="120"/>
        <w:gridCol w:w="409"/>
        <w:gridCol w:w="1637"/>
        <w:gridCol w:w="175"/>
        <w:gridCol w:w="350"/>
        <w:gridCol w:w="198"/>
        <w:gridCol w:w="1262"/>
        <w:gridCol w:w="275"/>
        <w:gridCol w:w="60"/>
        <w:gridCol w:w="474"/>
        <w:gridCol w:w="1286"/>
        <w:gridCol w:w="203"/>
        <w:gridCol w:w="406"/>
        <w:gridCol w:w="203"/>
        <w:gridCol w:w="1288"/>
        <w:gridCol w:w="27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 2024</w:t>
            </w:r>
          </w:p>
        </w:tc>
        <w:tc>
          <w:tcPr>
            <w:tcW w:w="27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i/>
              </w:rPr>
            </w:pPr>
            <w:r>
              <w:rPr>
                <w:i/>
              </w:rPr>
              <w:t>(Amounts in thousands, except for percentages)</w:t>
            </w:r>
          </w:p>
        </w:tc>
        <w:tc>
          <w:tcPr>
            <w:tcW w:w="120" w:type="dxa"/>
            <w:tcBorders/>
            <w:vAlign w:val="bottom"/>
          </w:tcPr>
          <w:p>
            <w:pPr>
              <w:pStyle w:val="TableContents"/>
              <w:bidi w:val="0"/>
              <w:spacing w:before="0" w:after="283"/>
              <w:jc w:val="left"/>
              <w:rPr/>
            </w:pPr>
            <w:r>
              <w:rPr/>
              <w:t>  </w:t>
            </w:r>
          </w:p>
        </w:tc>
        <w:tc>
          <w:tcPr>
            <w:tcW w:w="2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7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203"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Revenue</w:t>
            </w:r>
          </w:p>
        </w:tc>
        <w:tc>
          <w:tcPr>
            <w:tcW w:w="27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12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w:t>
            </w:r>
          </w:p>
        </w:tc>
        <w:tc>
          <w:tcPr>
            <w:tcW w:w="1637" w:type="dxa"/>
            <w:tcBorders/>
            <w:shd w:fill="CCEEFF" w:val="clear"/>
            <w:vAlign w:val="bottom"/>
          </w:tcPr>
          <w:p>
            <w:pPr>
              <w:pStyle w:val="TableContents"/>
              <w:bidi w:val="0"/>
              <w:spacing w:before="0" w:after="283"/>
              <w:jc w:val="right"/>
              <w:rPr/>
            </w:pPr>
            <w:r>
              <w:rPr/>
              <w:t>960</w:t>
            </w:r>
          </w:p>
        </w:tc>
        <w:tc>
          <w:tcPr>
            <w:tcW w:w="17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95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w:t>
            </w:r>
          </w:p>
        </w:tc>
        <w:tc>
          <w:tcPr>
            <w:tcW w:w="1286" w:type="dxa"/>
            <w:tcBorders/>
            <w:shd w:fill="CCEEFF" w:val="clear"/>
            <w:vAlign w:val="bottom"/>
          </w:tcPr>
          <w:p>
            <w:pPr>
              <w:pStyle w:val="TableContents"/>
              <w:bidi w:val="0"/>
              <w:spacing w:before="0" w:after="283"/>
              <w:jc w:val="right"/>
              <w:rPr/>
            </w:pPr>
            <w:r>
              <w:rPr/>
              <w:t>333</w:t>
            </w:r>
          </w:p>
        </w:tc>
        <w:tc>
          <w:tcPr>
            <w:tcW w:w="203"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61</w:t>
            </w:r>
          </w:p>
        </w:tc>
        <w:tc>
          <w:tcPr>
            <w:tcW w:w="27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637" w:type="dxa"/>
            <w:tcBorders/>
            <w:vAlign w:val="bottom"/>
          </w:tcPr>
          <w:p>
            <w:pPr>
              <w:pStyle w:val="TableContents"/>
              <w:bidi w:val="0"/>
              <w:spacing w:before="0" w:after="283"/>
              <w:jc w:val="right"/>
              <w:rPr/>
            </w:pPr>
            <w:r>
              <w:rPr/>
              <w:t></w:t>
            </w:r>
          </w:p>
        </w:tc>
        <w:tc>
          <w:tcPr>
            <w:tcW w:w="17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215</w:t>
            </w:r>
          </w:p>
        </w:tc>
        <w:tc>
          <w:tcPr>
            <w:tcW w:w="203"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39</w:t>
            </w:r>
          </w:p>
        </w:tc>
        <w:tc>
          <w:tcPr>
            <w:tcW w:w="27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637" w:type="dxa"/>
            <w:tcBorders/>
            <w:shd w:fill="CCEEFF" w:val="clear"/>
            <w:vAlign w:val="bottom"/>
          </w:tcPr>
          <w:p>
            <w:pPr>
              <w:pStyle w:val="TableContents"/>
              <w:bidi w:val="0"/>
              <w:spacing w:before="0" w:after="283"/>
              <w:jc w:val="right"/>
              <w:rPr/>
            </w:pPr>
            <w:r>
              <w:rPr/>
              <w:t>47</w:t>
            </w:r>
          </w:p>
        </w:tc>
        <w:tc>
          <w:tcPr>
            <w:tcW w:w="17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1</w:t>
            </w:r>
          </w:p>
        </w:tc>
        <w:tc>
          <w:tcPr>
            <w:tcW w:w="203"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9" w:type="dxa"/>
            <w:tcBorders/>
            <w:vAlign w:val="bottom"/>
          </w:tcPr>
          <w:p>
            <w:pPr>
              <w:pStyle w:val="TableContents"/>
              <w:pBdr>
                <w:top w:val="single" w:sz="2" w:space="1" w:color="000000"/>
              </w:pBdr>
              <w:bidi w:val="0"/>
              <w:spacing w:before="0" w:after="0"/>
              <w:jc w:val="left"/>
              <w:rPr/>
            </w:pPr>
            <w:r>
              <w:rPr/>
              <w:t> </w:t>
            </w:r>
          </w:p>
        </w:tc>
        <w:tc>
          <w:tcPr>
            <w:tcW w:w="1637"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w:t>
            </w:r>
          </w:p>
        </w:tc>
        <w:tc>
          <w:tcPr>
            <w:tcW w:w="1637" w:type="dxa"/>
            <w:tcBorders/>
            <w:vAlign w:val="bottom"/>
          </w:tcPr>
          <w:p>
            <w:pPr>
              <w:pStyle w:val="TableContents"/>
              <w:bidi w:val="0"/>
              <w:spacing w:before="0" w:after="283"/>
              <w:jc w:val="right"/>
              <w:rPr/>
            </w:pPr>
            <w:r>
              <w:rPr/>
              <w:t>1,007</w:t>
            </w:r>
          </w:p>
        </w:tc>
        <w:tc>
          <w:tcPr>
            <w:tcW w:w="17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w:t>
            </w:r>
          </w:p>
        </w:tc>
        <w:tc>
          <w:tcPr>
            <w:tcW w:w="1286" w:type="dxa"/>
            <w:tcBorders/>
            <w:vAlign w:val="bottom"/>
          </w:tcPr>
          <w:p>
            <w:pPr>
              <w:pStyle w:val="TableContents"/>
              <w:bidi w:val="0"/>
              <w:spacing w:before="0" w:after="283"/>
              <w:jc w:val="right"/>
              <w:rPr/>
            </w:pPr>
            <w:r>
              <w:rPr/>
              <w:t>549</w:t>
            </w:r>
          </w:p>
        </w:tc>
        <w:tc>
          <w:tcPr>
            <w:tcW w:w="203"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9" w:type="dxa"/>
            <w:tcBorders/>
            <w:vAlign w:val="bottom"/>
          </w:tcPr>
          <w:p>
            <w:pPr>
              <w:pStyle w:val="TableContents"/>
              <w:pBdr>
                <w:top w:val="double" w:sz="6" w:space="1" w:color="000000"/>
              </w:pBdr>
              <w:bidi w:val="0"/>
              <w:spacing w:before="0" w:after="0"/>
              <w:jc w:val="left"/>
              <w:rPr/>
            </w:pPr>
            <w:r>
              <w:rPr/>
              <w:t> </w:t>
            </w:r>
          </w:p>
        </w:tc>
        <w:tc>
          <w:tcPr>
            <w:tcW w:w="1637" w:type="dxa"/>
            <w:tcBorders/>
            <w:vAlign w:val="bottom"/>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6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double" w:sz="6" w:space="1" w:color="000000"/>
              </w:pBdr>
              <w:bidi w:val="0"/>
              <w:spacing w:before="0" w:after="0"/>
              <w:jc w:val="left"/>
              <w:rPr/>
            </w:pPr>
            <w:r>
              <w:rPr/>
              <w:t> </w:t>
            </w:r>
          </w:p>
        </w:tc>
        <w:tc>
          <w:tcPr>
            <w:tcW w:w="1286"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Costs and Expenses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25"/>
        <w:gridCol w:w="206"/>
        <w:gridCol w:w="275"/>
        <w:gridCol w:w="1343"/>
        <w:gridCol w:w="115"/>
        <w:gridCol w:w="305"/>
        <w:gridCol w:w="275"/>
        <w:gridCol w:w="1103"/>
        <w:gridCol w:w="60"/>
        <w:gridCol w:w="205"/>
        <w:gridCol w:w="140"/>
        <w:gridCol w:w="680"/>
        <w:gridCol w:w="155"/>
        <w:gridCol w:w="173"/>
        <w:gridCol w:w="60"/>
        <w:gridCol w:w="680"/>
        <w:gridCol w:w="288"/>
      </w:tblGrid>
      <w:tr>
        <w:trPr/>
        <w:tc>
          <w:tcPr>
            <w:tcW w:w="332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32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4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8" w:type="dxa"/>
            <w:tcBorders/>
            <w:vAlign w:val="bottom"/>
          </w:tcPr>
          <w:p>
            <w:pPr>
              <w:pStyle w:val="TableContents"/>
              <w:bidi w:val="0"/>
              <w:spacing w:before="0" w:after="283"/>
              <w:jc w:val="left"/>
              <w:rPr/>
            </w:pPr>
            <w:r>
              <w:rPr/>
              <w:t> </w:t>
            </w:r>
          </w:p>
        </w:tc>
      </w:tr>
      <w:tr>
        <w:trPr/>
        <w:tc>
          <w:tcPr>
            <w:tcW w:w="3325" w:type="dxa"/>
            <w:tcBorders/>
            <w:vAlign w:val="bottom"/>
          </w:tcPr>
          <w:p>
            <w:pPr>
              <w:pStyle w:val="TableContents"/>
              <w:bidi w:val="0"/>
              <w:spacing w:before="0" w:after="283"/>
              <w:jc w:val="left"/>
              <w:rPr>
                <w:i/>
              </w:rPr>
            </w:pPr>
            <w:r>
              <w:rPr>
                <w:i/>
              </w:rPr>
              <w:t>(Amounts in thousands, except for percentages)</w:t>
            </w:r>
          </w:p>
        </w:tc>
        <w:tc>
          <w:tcPr>
            <w:tcW w:w="206" w:type="dxa"/>
            <w:tcBorders/>
            <w:vAlign w:val="bottom"/>
          </w:tcPr>
          <w:p>
            <w:pPr>
              <w:pStyle w:val="TableContents"/>
              <w:bidi w:val="0"/>
              <w:spacing w:before="0" w:after="283"/>
              <w:jc w:val="left"/>
              <w:rPr/>
            </w:pPr>
            <w:r>
              <w:rPr/>
              <w:t>  </w:t>
            </w:r>
          </w:p>
        </w:tc>
        <w:tc>
          <w:tcPr>
            <w:tcW w:w="16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1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8" w:type="dxa"/>
            <w:tcBorders/>
            <w:vAlign w:val="bottom"/>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206"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343" w:type="dxa"/>
            <w:tcBorders/>
            <w:shd w:fill="CCEEFF" w:val="clear"/>
            <w:vAlign w:val="bottom"/>
          </w:tcPr>
          <w:p>
            <w:pPr>
              <w:pStyle w:val="TableContents"/>
              <w:bidi w:val="0"/>
              <w:spacing w:before="0" w:after="283"/>
              <w:jc w:val="right"/>
              <w:rPr/>
            </w:pPr>
            <w:r>
              <w:rPr/>
              <w:t>327</w:t>
            </w:r>
          </w:p>
        </w:tc>
        <w:tc>
          <w:tcPr>
            <w:tcW w:w="11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306</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w:t>
            </w:r>
          </w:p>
        </w:tc>
        <w:tc>
          <w:tcPr>
            <w:tcW w:w="288" w:type="dxa"/>
            <w:tcBorders/>
            <w:shd w:fill="CCEEFF" w:val="clear"/>
            <w:vAlign w:val="bottom"/>
          </w:tcPr>
          <w:p>
            <w:pPr>
              <w:pStyle w:val="TableContents"/>
              <w:bidi w:val="0"/>
              <w:spacing w:before="0" w:after="283"/>
              <w:jc w:val="left"/>
              <w:rPr/>
            </w:pPr>
            <w:r>
              <w:rPr/>
              <w:t>% </w:t>
            </w:r>
          </w:p>
        </w:tc>
      </w:tr>
      <w:tr>
        <w:trPr/>
        <w:tc>
          <w:tcPr>
            <w:tcW w:w="332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06"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13,118</w:t>
            </w:r>
          </w:p>
        </w:tc>
        <w:tc>
          <w:tcPr>
            <w:tcW w:w="11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4,094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9,024</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220</w:t>
            </w:r>
          </w:p>
        </w:tc>
        <w:tc>
          <w:tcPr>
            <w:tcW w:w="288" w:type="dxa"/>
            <w:tcBorders/>
            <w:vAlign w:val="bottom"/>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06"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13,357</w:t>
            </w:r>
          </w:p>
        </w:tc>
        <w:tc>
          <w:tcPr>
            <w:tcW w:w="11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3,988</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9,369</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235</w:t>
            </w:r>
          </w:p>
        </w:tc>
        <w:tc>
          <w:tcPr>
            <w:tcW w:w="288" w:type="dxa"/>
            <w:tcBorders/>
            <w:shd w:fill="CCEEFF" w:val="clear"/>
            <w:vAlign w:val="bottom"/>
          </w:tcPr>
          <w:p>
            <w:pPr>
              <w:pStyle w:val="TableContents"/>
              <w:bidi w:val="0"/>
              <w:spacing w:before="0" w:after="283"/>
              <w:jc w:val="left"/>
              <w:rPr/>
            </w:pPr>
            <w:r>
              <w:rPr/>
              <w:t>% </w:t>
            </w:r>
          </w:p>
        </w:tc>
      </w:tr>
      <w:tr>
        <w:trPr/>
        <w:tc>
          <w:tcPr>
            <w:tcW w:w="332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06"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191</w:t>
            </w:r>
          </w:p>
        </w:tc>
        <w:tc>
          <w:tcPr>
            <w:tcW w:w="11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253</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w:t>
            </w:r>
          </w:p>
        </w:tc>
        <w:tc>
          <w:tcPr>
            <w:tcW w:w="288" w:type="dxa"/>
            <w:tcBorders/>
            <w:vAlign w:val="bottom"/>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206"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12,035</w:t>
            </w:r>
          </w:p>
        </w:tc>
        <w:tc>
          <w:tcPr>
            <w:tcW w:w="11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11,990</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26,644</w:t>
            </w:r>
          </w:p>
        </w:tc>
        <w:tc>
          <w:tcPr>
            <w:tcW w:w="288" w:type="dxa"/>
            <w:tcBorders/>
            <w:shd w:fill="CCEEFF" w:val="clear"/>
            <w:vAlign w:val="bottom"/>
          </w:tcPr>
          <w:p>
            <w:pPr>
              <w:pStyle w:val="TableContents"/>
              <w:bidi w:val="0"/>
              <w:spacing w:before="0" w:after="283"/>
              <w:jc w:val="left"/>
              <w:rPr/>
            </w:pPr>
            <w:r>
              <w:rPr/>
              <w:t>% </w:t>
            </w:r>
          </w:p>
        </w:tc>
      </w:tr>
      <w:tr>
        <w:trPr/>
        <w:tc>
          <w:tcPr>
            <w:tcW w:w="3325"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15"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332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06"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343" w:type="dxa"/>
            <w:tcBorders/>
            <w:vAlign w:val="bottom"/>
          </w:tcPr>
          <w:p>
            <w:pPr>
              <w:pStyle w:val="TableContents"/>
              <w:bidi w:val="0"/>
              <w:spacing w:before="0" w:after="283"/>
              <w:jc w:val="right"/>
              <w:rPr/>
            </w:pPr>
            <w:r>
              <w:rPr/>
              <w:t>39,028</w:t>
            </w:r>
          </w:p>
        </w:tc>
        <w:tc>
          <w:tcPr>
            <w:tcW w:w="11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8,686</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30,342</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349</w:t>
            </w:r>
          </w:p>
        </w:tc>
        <w:tc>
          <w:tcPr>
            <w:tcW w:w="288" w:type="dxa"/>
            <w:tcBorders/>
            <w:vAlign w:val="bottom"/>
          </w:tcPr>
          <w:p>
            <w:pPr>
              <w:pStyle w:val="TableContents"/>
              <w:bidi w:val="0"/>
              <w:spacing w:before="0" w:after="283"/>
              <w:jc w:val="left"/>
              <w:rPr/>
            </w:pPr>
            <w:r>
              <w:rPr/>
              <w:t>% </w:t>
            </w:r>
          </w:p>
        </w:tc>
      </w:tr>
      <w:tr>
        <w:trPr/>
        <w:tc>
          <w:tcPr>
            <w:tcW w:w="3325"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343" w:type="dxa"/>
            <w:tcBorders/>
            <w:vAlign w:val="bottom"/>
          </w:tcPr>
          <w:p>
            <w:pPr>
              <w:pStyle w:val="TableContents"/>
              <w:pBdr>
                <w:top w:val="double" w:sz="6" w:space="1" w:color="000000"/>
              </w:pBdr>
              <w:bidi w:val="0"/>
              <w:spacing w:before="0" w:after="0"/>
              <w:jc w:val="left"/>
              <w:rPr/>
            </w:pPr>
            <w:r>
              <w:rPr/>
              <w:t> </w:t>
            </w:r>
          </w:p>
        </w:tc>
        <w:tc>
          <w:tcPr>
            <w:tcW w:w="115" w:type="dxa"/>
            <w:tcBorders/>
            <w:vAlign w:val="center"/>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Cost of revenue (exclusive of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(excluding depreciation and amortization) for the three months ended March 31, 2025 reflects an increase of $21,000, or 7%, compared to the three months ended March 31, 2024. This increase was primarily driven by $0.3 million related to hardware sales during the three months ended March 31, 2025, which was partially offset by a decrease of $0.2 million related to inventory carrying costs with an outside supplier. Cost of revenue for the three months ended March 31, 2025 also included a $0.6 million benefit relating to the sale of inventory whose carrying amount had been written down to below original cost in a prior period.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 for the three months ended March 31, 2025 increased $9.0 million or 220% compared to the three months ended March 31, 2024. The increase was driven by an increase in personnel costs of $6.9 million as a result of market-based salary adjustments made in the year ended December 31, 2024 which were implemented after the three months ended March 31, 2024 as well as additional stock-based compensation connected to the consummation of the Merger and an increase of $1.8 million in spending associated with our new chip development. We expect research and development to continue to increase to support the development of our next generation product portfolio in future years.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 for the three months ended March 31, 2025 increased $9.4 million or 235% compared to the three months ended March 31, 2024. The increase was primarily due to a $6.3 million increase in employee related costs associated with the hiring of new Company executives, market-based salary adjustments (as previously described), additional stock-based compensation connected to the consummation of the Merger and the building of our internal sales team. We also incurred additional costs such as a $1.4 million increase in professional services costs incurred in support of the requirements of being a public company and a $1.7 million increase in marketing and other sundry costs relating to activities focused on our sales pipeline. </w:t>
      </w:r>
    </w:p>
    <w:p>
      <w:pPr>
        <w:pStyle w:val="TextBody"/>
        <w:bidi w:val="0"/>
        <w:spacing w:before="360" w:after="0"/>
        <w:jc w:val="left"/>
        <w:rPr>
          <w:rFonts w:ascii="Times New Roman" w:hAnsi="Times New Roman"/>
          <w:i/>
          <w:sz w:val="20"/>
        </w:rPr>
      </w:pPr>
      <w:r>
        <w:rPr>
          <w:rFonts w:ascii="Times New Roman" w:hAnsi="Times New Roman"/>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the three months ended March 31, 2025 decreased $62,000 or 25% compared to the three months ended March 31, 2024. The decrease was primarily due to a decrease in depreciation costs for computer equipment and server and network equipment that were fully depreciated in the comparative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 costs increased by $12.0 million as a direct result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Total other expense, net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20"/>
        <w:gridCol w:w="230"/>
        <w:gridCol w:w="221"/>
        <w:gridCol w:w="1414"/>
        <w:gridCol w:w="253"/>
        <w:gridCol w:w="263"/>
        <w:gridCol w:w="221"/>
        <w:gridCol w:w="1039"/>
        <w:gridCol w:w="155"/>
        <w:gridCol w:w="200"/>
        <w:gridCol w:w="140"/>
        <w:gridCol w:w="890"/>
        <w:gridCol w:w="155"/>
        <w:gridCol w:w="200"/>
        <w:gridCol w:w="60"/>
        <w:gridCol w:w="572"/>
        <w:gridCol w:w="355"/>
      </w:tblGrid>
      <w:tr>
        <w:trPr/>
        <w:tc>
          <w:tcPr>
            <w:tcW w:w="302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34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0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55" w:type="dxa"/>
            <w:tcBorders/>
            <w:vAlign w:val="bottom"/>
          </w:tcPr>
          <w:p>
            <w:pPr>
              <w:pStyle w:val="TableContents"/>
              <w:bidi w:val="0"/>
              <w:spacing w:before="0" w:after="283"/>
              <w:jc w:val="left"/>
              <w:rPr/>
            </w:pPr>
            <w:r>
              <w:rPr/>
              <w:t> </w:t>
            </w:r>
          </w:p>
        </w:tc>
      </w:tr>
      <w:tr>
        <w:trPr/>
        <w:tc>
          <w:tcPr>
            <w:tcW w:w="3020" w:type="dxa"/>
            <w:tcBorders/>
            <w:vAlign w:val="bottom"/>
          </w:tcPr>
          <w:p>
            <w:pPr>
              <w:pStyle w:val="TableContents"/>
              <w:bidi w:val="0"/>
              <w:spacing w:before="0" w:after="283"/>
              <w:jc w:val="left"/>
              <w:rPr>
                <w:i/>
              </w:rPr>
            </w:pPr>
            <w:r>
              <w:rPr>
                <w:i/>
              </w:rPr>
              <w:t>(Amounts in thousands, except for percentages)</w:t>
            </w:r>
          </w:p>
        </w:tc>
        <w:tc>
          <w:tcPr>
            <w:tcW w:w="230" w:type="dxa"/>
            <w:tcBorders/>
            <w:vAlign w:val="bottom"/>
          </w:tcPr>
          <w:p>
            <w:pPr>
              <w:pStyle w:val="TableContents"/>
              <w:bidi w:val="0"/>
              <w:spacing w:before="0" w:after="283"/>
              <w:jc w:val="left"/>
              <w:rPr/>
            </w:pPr>
            <w:r>
              <w:rPr/>
              <w:t>  </w:t>
            </w:r>
          </w:p>
        </w:tc>
        <w:tc>
          <w:tcPr>
            <w:tcW w:w="1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53"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5" w:type="dxa"/>
            <w:tcBorders/>
            <w:vAlign w:val="bottom"/>
          </w:tcPr>
          <w:p>
            <w:pPr>
              <w:pStyle w:val="TableContents"/>
              <w:bidi w:val="0"/>
              <w:spacing w:before="0" w:after="283"/>
              <w:jc w:val="left"/>
              <w:rPr/>
            </w:pPr>
            <w:r>
              <w:rPr/>
              <w:t> </w:t>
            </w:r>
          </w:p>
        </w:tc>
      </w:tr>
      <w:tr>
        <w:trPr/>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foreign exchange transactions</w:t>
            </w:r>
          </w:p>
        </w:tc>
        <w:tc>
          <w:tcPr>
            <w:tcW w:w="23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414" w:type="dxa"/>
            <w:tcBorders/>
            <w:shd w:fill="CCEEFF" w:val="clear"/>
            <w:vAlign w:val="bottom"/>
          </w:tcPr>
          <w:p>
            <w:pPr>
              <w:pStyle w:val="TableContents"/>
              <w:bidi w:val="0"/>
              <w:spacing w:before="0" w:after="283"/>
              <w:jc w:val="right"/>
              <w:rPr/>
            </w:pPr>
            <w:r>
              <w:rPr/>
              <w:t>(29</w:t>
            </w:r>
          </w:p>
        </w:tc>
        <w:tc>
          <w:tcPr>
            <w:tcW w:w="253"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(41</w:t>
            </w:r>
          </w:p>
        </w:tc>
        <w:tc>
          <w:tcPr>
            <w:tcW w:w="355" w:type="dxa"/>
            <w:tcBorders/>
            <w:shd w:fill="CCEEFF" w:val="clear"/>
            <w:vAlign w:val="bottom"/>
          </w:tcPr>
          <w:p>
            <w:pPr>
              <w:pStyle w:val="TableContents"/>
              <w:bidi w:val="0"/>
              <w:spacing w:before="0" w:after="283"/>
              <w:jc w:val="left"/>
              <w:rPr/>
            </w:pPr>
            <w:r>
              <w:rPr/>
              <w:t>)% </w:t>
            </w:r>
          </w:p>
        </w:tc>
      </w:tr>
      <w:tr>
        <w:trPr/>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23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(165,703</w:t>
            </w:r>
          </w:p>
        </w:tc>
        <w:tc>
          <w:tcPr>
            <w:tcW w:w="253"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(4,651</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(161,052</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3,463</w:t>
            </w:r>
          </w:p>
        </w:tc>
        <w:tc>
          <w:tcPr>
            <w:tcW w:w="355" w:type="dxa"/>
            <w:tcBorders/>
            <w:vAlign w:val="bottom"/>
          </w:tcPr>
          <w:p>
            <w:pPr>
              <w:pStyle w:val="TableContents"/>
              <w:bidi w:val="0"/>
              <w:spacing w:before="0" w:after="283"/>
              <w:jc w:val="left"/>
              <w:rPr/>
            </w:pPr>
            <w:r>
              <w:rPr/>
              <w:t>% </w:t>
            </w:r>
          </w:p>
        </w:tc>
      </w:tr>
      <w:tr>
        <w:trPr/>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23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(60,345</w:t>
            </w:r>
          </w:p>
        </w:tc>
        <w:tc>
          <w:tcPr>
            <w:tcW w:w="253"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(3,515</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(56,830</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1,617</w:t>
            </w:r>
          </w:p>
        </w:tc>
        <w:tc>
          <w:tcPr>
            <w:tcW w:w="355" w:type="dxa"/>
            <w:tcBorders/>
            <w:shd w:fill="CCEEFF" w:val="clear"/>
            <w:vAlign w:val="bottom"/>
          </w:tcPr>
          <w:p>
            <w:pPr>
              <w:pStyle w:val="TableContents"/>
              <w:bidi w:val="0"/>
              <w:spacing w:before="0" w:after="283"/>
              <w:jc w:val="left"/>
              <w:rPr/>
            </w:pPr>
            <w:r>
              <w:rPr/>
              <w:t>% </w:t>
            </w:r>
          </w:p>
        </w:tc>
      </w:tr>
      <w:tr>
        <w:trPr/>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earnout share liabilities</w:t>
            </w:r>
          </w:p>
        </w:tc>
        <w:tc>
          <w:tcPr>
            <w:tcW w:w="23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116,518</w:t>
            </w:r>
          </w:p>
        </w:tc>
        <w:tc>
          <w:tcPr>
            <w:tcW w:w="253"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116,518</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100</w:t>
            </w:r>
          </w:p>
        </w:tc>
        <w:tc>
          <w:tcPr>
            <w:tcW w:w="355" w:type="dxa"/>
            <w:tcBorders/>
            <w:vAlign w:val="bottom"/>
          </w:tcPr>
          <w:p>
            <w:pPr>
              <w:pStyle w:val="TableContents"/>
              <w:bidi w:val="0"/>
              <w:spacing w:before="0" w:after="283"/>
              <w:jc w:val="left"/>
              <w:rPr/>
            </w:pPr>
            <w:r>
              <w:rPr/>
              <w:t>% </w:t>
            </w:r>
          </w:p>
        </w:tc>
      </w:tr>
      <w:tr>
        <w:trPr/>
        <w:tc>
          <w:tcPr>
            <w:tcW w:w="3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23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(19</w:t>
            </w:r>
          </w:p>
        </w:tc>
        <w:tc>
          <w:tcPr>
            <w:tcW w:w="253"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(229</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(92</w:t>
            </w:r>
          </w:p>
        </w:tc>
        <w:tc>
          <w:tcPr>
            <w:tcW w:w="355" w:type="dxa"/>
            <w:tcBorders/>
            <w:shd w:fill="CCEEFF" w:val="clear"/>
            <w:vAlign w:val="bottom"/>
          </w:tcPr>
          <w:p>
            <w:pPr>
              <w:pStyle w:val="TableContents"/>
              <w:bidi w:val="0"/>
              <w:spacing w:before="0" w:after="283"/>
              <w:jc w:val="left"/>
              <w:rPr/>
            </w:pPr>
            <w:r>
              <w:rPr/>
              <w:t>)% </w:t>
            </w:r>
          </w:p>
        </w:tc>
      </w:tr>
      <w:tr>
        <w:trPr/>
        <w:tc>
          <w:tcPr>
            <w:tcW w:w="302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253"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r>
      <w:tr>
        <w:trPr/>
        <w:tc>
          <w:tcPr>
            <w:tcW w:w="3020"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expense, net</w:t>
            </w:r>
          </w:p>
        </w:tc>
        <w:tc>
          <w:tcPr>
            <w:tcW w:w="23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414" w:type="dxa"/>
            <w:tcBorders/>
            <w:vAlign w:val="bottom"/>
          </w:tcPr>
          <w:p>
            <w:pPr>
              <w:pStyle w:val="TableContents"/>
              <w:bidi w:val="0"/>
              <w:spacing w:before="0" w:after="283"/>
              <w:jc w:val="right"/>
              <w:rPr/>
            </w:pPr>
            <w:r>
              <w:rPr/>
              <w:t>(109,578</w:t>
            </w:r>
          </w:p>
        </w:tc>
        <w:tc>
          <w:tcPr>
            <w:tcW w:w="253"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(8,444</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(101,134</w:t>
            </w:r>
          </w:p>
        </w:tc>
        <w:tc>
          <w:tcPr>
            <w:tcW w:w="15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1,198</w:t>
            </w:r>
          </w:p>
        </w:tc>
        <w:tc>
          <w:tcPr>
            <w:tcW w:w="355" w:type="dxa"/>
            <w:tcBorders/>
            <w:vAlign w:val="bottom"/>
          </w:tcPr>
          <w:p>
            <w:pPr>
              <w:pStyle w:val="TableContents"/>
              <w:bidi w:val="0"/>
              <w:spacing w:before="0" w:after="283"/>
              <w:jc w:val="left"/>
              <w:rPr/>
            </w:pPr>
            <w:r>
              <w:rPr/>
              <w:t>% </w:t>
            </w:r>
          </w:p>
        </w:tc>
      </w:tr>
      <w:tr>
        <w:trPr/>
        <w:tc>
          <w:tcPr>
            <w:tcW w:w="302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414" w:type="dxa"/>
            <w:tcBorders/>
            <w:vAlign w:val="bottom"/>
          </w:tcPr>
          <w:p>
            <w:pPr>
              <w:pStyle w:val="TableContents"/>
              <w:pBdr>
                <w:top w:val="double" w:sz="6" w:space="1" w:color="000000"/>
              </w:pBdr>
              <w:bidi w:val="0"/>
              <w:spacing w:before="0" w:after="0"/>
              <w:jc w:val="left"/>
              <w:rPr/>
            </w:pPr>
            <w:r>
              <w:rPr/>
              <w:t> </w:t>
            </w:r>
          </w:p>
        </w:tc>
        <w:tc>
          <w:tcPr>
            <w:tcW w:w="253"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0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Total other expense, net </w:t>
      </w:r>
    </w:p>
    <w:p>
      <w:pPr>
        <w:pStyle w:val="TextBody"/>
        <w:bidi w:val="0"/>
        <w:spacing w:before="120" w:after="0"/>
        <w:jc w:val="left"/>
        <w:rPr>
          <w:rFonts w:ascii="Times New Roman" w:hAnsi="Times New Roman"/>
          <w:sz w:val="20"/>
        </w:rPr>
      </w:pPr>
      <w:r>
        <w:rPr>
          <w:rFonts w:ascii="Times New Roman" w:hAnsi="Times New Roman"/>
          <w:sz w:val="20"/>
        </w:rPr>
        <w:t xml:space="preserve">Total other expense, net for the three months ended March 31, 2025 reflects an increase of $101.1 million, or 1,198%, compared to the three months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Total other expense, net for the three months ended March 31, 2025 was primarily comprised of the total net change in fair value of our convertible notes and warrant liabilities of $226.0 million and the change in our earnout liabilities of $116.5 million. </w:t>
      </w:r>
    </w:p>
    <w:p>
      <w:pPr>
        <w:pStyle w:val="TextBody"/>
        <w:bidi w:val="0"/>
        <w:spacing w:before="120" w:after="0"/>
        <w:jc w:val="left"/>
        <w:rPr>
          <w:rFonts w:ascii="Times New Roman" w:hAnsi="Times New Roman"/>
          <w:sz w:val="20"/>
        </w:rPr>
      </w:pPr>
      <w:r>
        <w:rPr>
          <w:rFonts w:ascii="Times New Roman" w:hAnsi="Times New Roman"/>
          <w:sz w:val="20"/>
        </w:rPr>
        <w:t xml:space="preserve">Total other expense, net for the three months ended March 31, 2024 was primarily comprised of the total net change in fair value of our convertible notes and warrant liabilities of $8.2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56"/>
        <w:gridCol w:w="302"/>
        <w:gridCol w:w="374"/>
        <w:gridCol w:w="1021"/>
        <w:gridCol w:w="160"/>
        <w:gridCol w:w="489"/>
        <w:gridCol w:w="374"/>
        <w:gridCol w:w="1022"/>
        <w:gridCol w:w="60"/>
        <w:gridCol w:w="302"/>
        <w:gridCol w:w="210"/>
        <w:gridCol w:w="210"/>
        <w:gridCol w:w="89"/>
        <w:gridCol w:w="358"/>
        <w:gridCol w:w="187"/>
        <w:gridCol w:w="73"/>
        <w:gridCol w:w="401"/>
      </w:tblGrid>
      <w:tr>
        <w:trPr/>
        <w:tc>
          <w:tcPr>
            <w:tcW w:w="3756"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75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34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401" w:type="dxa"/>
            <w:tcBorders/>
            <w:vAlign w:val="bottom"/>
          </w:tcPr>
          <w:p>
            <w:pPr>
              <w:pStyle w:val="TableContents"/>
              <w:bidi w:val="0"/>
              <w:spacing w:before="0" w:after="283"/>
              <w:jc w:val="left"/>
              <w:rPr/>
            </w:pPr>
            <w:r>
              <w:rPr/>
              <w:t> </w:t>
            </w:r>
          </w:p>
        </w:tc>
      </w:tr>
      <w:tr>
        <w:trPr/>
        <w:tc>
          <w:tcPr>
            <w:tcW w:w="3756" w:type="dxa"/>
            <w:tcBorders/>
            <w:vAlign w:val="bottom"/>
          </w:tcPr>
          <w:p>
            <w:pPr>
              <w:pStyle w:val="TableContents"/>
              <w:bidi w:val="0"/>
              <w:spacing w:before="0" w:after="283"/>
              <w:jc w:val="left"/>
              <w:rPr>
                <w:i/>
              </w:rPr>
            </w:pPr>
            <w:r>
              <w:rPr>
                <w:i/>
              </w:rPr>
              <w:t>(Amounts in thousands, except for percentages)</w:t>
            </w:r>
          </w:p>
        </w:tc>
        <w:tc>
          <w:tcPr>
            <w:tcW w:w="302"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8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401" w:type="dxa"/>
            <w:tcBorders/>
            <w:vAlign w:val="bottom"/>
          </w:tcPr>
          <w:p>
            <w:pPr>
              <w:pStyle w:val="TableContents"/>
              <w:bidi w:val="0"/>
              <w:spacing w:before="0" w:after="283"/>
              <w:jc w:val="left"/>
              <w:rPr/>
            </w:pPr>
            <w:r>
              <w:rPr/>
              <w:t> </w:t>
            </w:r>
          </w:p>
        </w:tc>
      </w:tr>
      <w:tr>
        <w:trPr/>
        <w:tc>
          <w:tcPr>
            <w:tcW w:w="3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302"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021" w:type="dxa"/>
            <w:tcBorders/>
            <w:shd w:fill="CCEEFF" w:val="clear"/>
            <w:vAlign w:val="bottom"/>
          </w:tcPr>
          <w:p>
            <w:pPr>
              <w:pStyle w:val="TableContents"/>
              <w:bidi w:val="0"/>
              <w:spacing w:before="0" w:after="283"/>
              <w:jc w:val="right"/>
              <w:rPr/>
            </w:pPr>
            <w:r>
              <w:rPr/>
              <w:t>162</w:t>
            </w:r>
          </w:p>
        </w:tc>
        <w:tc>
          <w:tcPr>
            <w:tcW w:w="1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162</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210" w:type="dxa"/>
            <w:tcBorders/>
            <w:shd w:fill="CCEEFF" w:val="clear"/>
            <w:vAlign w:val="bottom"/>
          </w:tcPr>
          <w:p>
            <w:pPr>
              <w:pStyle w:val="TableContents"/>
              <w:bidi w:val="0"/>
              <w:spacing w:before="0" w:after="283"/>
              <w:jc w:val="right"/>
              <w:rPr/>
            </w:pPr>
            <w:r>
              <w:rPr/>
              <w:t> </w:t>
            </w:r>
          </w:p>
        </w:tc>
        <w:tc>
          <w:tcPr>
            <w:tcW w:w="8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right"/>
              <w:rPr/>
            </w:pPr>
            <w:r>
              <w:rPr/>
              <w:t></w:t>
            </w:r>
          </w:p>
        </w:tc>
        <w:tc>
          <w:tcPr>
            <w:tcW w:w="40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 for income taxes amounted to approximately $0.2 million for the three months ended March 31, 2025 and 2024, respectively, and our effective tax rate was approximately (0.1)% and (1.4)%, respectively. The effective income tax rate was primarily driven by the valuation allowance which is driven by the deferred tax assets arising from capitalized research and experimental expenditures and the net operating losses. </w:t>
      </w:r>
    </w:p>
    <w:p>
      <w:pPr>
        <w:pStyle w:val="TextBody"/>
        <w:bidi w:val="0"/>
        <w:spacing w:before="360" w:after="0"/>
        <w:jc w:val="left"/>
        <w:rPr>
          <w:rFonts w:ascii="Times New Roman" w:hAnsi="Times New Roman"/>
          <w:i/>
          <w:sz w:val="20"/>
        </w:rPr>
      </w:pPr>
      <w:r>
        <w:rPr>
          <w:rFonts w:ascii="Times New Roman" w:hAnsi="Times New Roman"/>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Net loss was approximately $147.8 million for the three months ended March 31, 2025 compared to a net loss of approximately $16.7 million for the three months ended March 31, 2024. The increase in net loss for the three months ended March 31, 2025 compared to the three months ended March 31, 2024 was primarily attributable to the $226.0 million change in fair value of convertible notes and warrant liabilities and the increase in loss from operations of $29.9 million, partially offset by the $116.5 million change in the fair value of earnout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Blaizes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of Blaize and through March 31, 2025, we have funded our operations primarily with cash flows from contributions from founders or other investors and other financing activities. We have incurred recurring losses and negative cash flows since our inception, including a net loss of $147.8 million and $16.7 million for the three months ended March 31, 2025 and 2024, respectively. As of March 31, 2025, we had cash and cash equivalents of approximately $45.0 million, and an accumulated deficit of $577.0 million.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finance these opportunities, we will need to raise additional financing. While there can be no assurances, we intend to raise such capital through issuances of additional debt financing and public or private equity offerings or other means. If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unaudited condensed consolidated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for the three months ended March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from operating, investing and financing activities: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1"/>
        <w:gridCol w:w="260"/>
        <w:gridCol w:w="229"/>
        <w:gridCol w:w="1242"/>
        <w:gridCol w:w="261"/>
        <w:gridCol w:w="288"/>
        <w:gridCol w:w="229"/>
        <w:gridCol w:w="1137"/>
        <w:gridCol w:w="158"/>
      </w:tblGrid>
      <w:tr>
        <w:trPr/>
        <w:tc>
          <w:tcPr>
            <w:tcW w:w="3951"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51"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33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3951" w:type="dxa"/>
            <w:tcBorders/>
            <w:vAlign w:val="bottom"/>
          </w:tcPr>
          <w:p>
            <w:pPr>
              <w:pStyle w:val="TableContents"/>
              <w:bidi w:val="0"/>
              <w:spacing w:before="0" w:after="283"/>
              <w:jc w:val="left"/>
              <w:rPr>
                <w:i/>
              </w:rPr>
            </w:pPr>
            <w:r>
              <w:rPr>
                <w:i/>
              </w:rPr>
              <w:t>(Amounts in thousands)</w:t>
            </w:r>
          </w:p>
        </w:tc>
        <w:tc>
          <w:tcPr>
            <w:tcW w:w="260" w:type="dxa"/>
            <w:tcBorders/>
            <w:vAlign w:val="bottom"/>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61"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(15,944</w:t>
            </w:r>
          </w:p>
        </w:tc>
        <w:tc>
          <w:tcPr>
            <w:tcW w:w="261"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(7,363</w:t>
            </w:r>
          </w:p>
        </w:tc>
        <w:tc>
          <w:tcPr>
            <w:tcW w:w="15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(661</w:t>
            </w:r>
          </w:p>
        </w:tc>
        <w:tc>
          <w:tcPr>
            <w:tcW w:w="261"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(177</w:t>
            </w:r>
          </w:p>
        </w:tc>
        <w:tc>
          <w:tcPr>
            <w:tcW w:w="15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11,343</w:t>
            </w:r>
          </w:p>
        </w:tc>
        <w:tc>
          <w:tcPr>
            <w:tcW w:w="261"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11,372</w:t>
            </w:r>
          </w:p>
        </w:tc>
        <w:tc>
          <w:tcPr>
            <w:tcW w:w="158" w:type="dxa"/>
            <w:tcBorders/>
            <w:shd w:fill="CCEEFF" w:val="clear"/>
            <w:vAlign w:val="bottom"/>
          </w:tcPr>
          <w:p>
            <w:pPr>
              <w:pStyle w:val="TableContents"/>
              <w:bidi w:val="0"/>
              <w:spacing w:before="0" w:after="283"/>
              <w:jc w:val="left"/>
              <w:rPr/>
            </w:pPr>
            <w:r>
              <w:rPr/>
              <w:t> </w:t>
            </w:r>
          </w:p>
        </w:tc>
      </w:tr>
      <w:tr>
        <w:trPr/>
        <w:tc>
          <w:tcPr>
            <w:tcW w:w="3951"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Change in cash, cash equivalents and restricted cash</w:t>
            </w:r>
          </w:p>
        </w:tc>
        <w:tc>
          <w:tcPr>
            <w:tcW w:w="2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(5,262</w:t>
            </w:r>
          </w:p>
        </w:tc>
        <w:tc>
          <w:tcPr>
            <w:tcW w:w="261"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137" w:type="dxa"/>
            <w:tcBorders/>
            <w:vAlign w:val="bottom"/>
          </w:tcPr>
          <w:p>
            <w:pPr>
              <w:pStyle w:val="TableContents"/>
              <w:bidi w:val="0"/>
              <w:spacing w:before="0" w:after="283"/>
              <w:jc w:val="right"/>
              <w:rPr/>
            </w:pPr>
            <w:r>
              <w:rPr/>
              <w:t>3,832</w:t>
            </w:r>
          </w:p>
        </w:tc>
        <w:tc>
          <w:tcPr>
            <w:tcW w:w="158" w:type="dxa"/>
            <w:tcBorders/>
            <w:vAlign w:val="bottom"/>
          </w:tcPr>
          <w:p>
            <w:pPr>
              <w:pStyle w:val="TableContents"/>
              <w:bidi w:val="0"/>
              <w:spacing w:before="0" w:after="283"/>
              <w:jc w:val="left"/>
              <w:rPr/>
            </w:pPr>
            <w:r>
              <w:rPr/>
              <w:t> </w:t>
            </w:r>
          </w:p>
        </w:tc>
      </w:tr>
      <w:tr>
        <w:trPr/>
        <w:tc>
          <w:tcPr>
            <w:tcW w:w="3951"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Cash flows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$15.9 million during the three months ended March 31, 2025, compared to $7.4 million for the three months ended March 31, 2024. The increase in cash used in operating activities was primarily due to an increase of $131.0 million in net loss and a decrease of $116.5 million in the fair value of our earnout share liabilities, partially offset by an increase of $217.9 million in the fair value of our convertible notes and warrant liabilities, an increase of $10.7 million in stock-based compensation, and a decrease of $8.5 million in prepaid expenses and other current assets. </w:t>
      </w:r>
    </w:p>
    <w:p>
      <w:pPr>
        <w:pStyle w:val="TextBody"/>
        <w:bidi w:val="0"/>
        <w:spacing w:before="360" w:after="0"/>
        <w:jc w:val="left"/>
        <w:rPr>
          <w:rFonts w:ascii="Times New Roman" w:hAnsi="Times New Roman"/>
          <w:i/>
          <w:sz w:val="20"/>
        </w:rPr>
      </w:pPr>
      <w:r>
        <w:rPr>
          <w:rFonts w:ascii="Times New Roman" w:hAnsi="Times New Roman"/>
          <w:i/>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2025 and 2024, we used $ 0.7 million and $0.2 million of cash to purchase property and equipment, respectively. The increase of $0.5 million during the three months ended March 31, 2025 was primarily due to the licensing of software. </w:t>
      </w:r>
    </w:p>
    <w:p>
      <w:pPr>
        <w:pStyle w:val="TextBody"/>
        <w:bidi w:val="0"/>
        <w:spacing w:before="360" w:after="0"/>
        <w:jc w:val="left"/>
        <w:rPr>
          <w:rFonts w:ascii="Times New Roman" w:hAnsi="Times New Roman"/>
          <w:i/>
          <w:sz w:val="20"/>
        </w:rPr>
      </w:pPr>
      <w:r>
        <w:rPr>
          <w:rFonts w:ascii="Times New Roman" w:hAnsi="Times New Roman"/>
          <w:i/>
          <w:sz w:val="20"/>
        </w:rPr>
        <w:t xml:space="preserve">Cash flows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2025, net cash provided by financing activities was $11.3 million, which primarily consisted of $15.9 million of proceeds from the Merger and PIPE financing, partially offset by the $4.5 million payment of deferred offering costs. This compares to net cash provided by financing activities for the three months ended March 31, 2024 of $11.4 million, which primarily consisted of $11.5 million in proceeds from the issuance of secured convertible notes under the 2023 Note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Cash Requirements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and December 31, 2024, we had outstanding purchase orders and contractual obligations totaling $0.3 million and $0.2 million, respectively, to procure inventory. The majority of our outstanding inventory purchase orders and preauthorized commitments to procure strategic components based on our expected demand are placed with our primary third-party contract manufacturer and a semiconductor supplier. We have an obligation to purchase inventories that have been purchased by the contract manufacturer when components have not been consumed within a period defined in the terms of our agreement. While we 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March 31, 2025 and December 31, 2024, the liability balance of our accrued loss on accrued purchase commitments equaled $0.6 million. </w:t>
      </w:r>
    </w:p>
    <w:p>
      <w:pPr>
        <w:pStyle w:val="TextBody"/>
        <w:bidi w:val="0"/>
        <w:spacing w:before="360" w:after="0"/>
        <w:jc w:val="left"/>
        <w:rPr>
          <w:rFonts w:ascii="Times New Roman" w:hAnsi="Times New Roman"/>
          <w:b/>
          <w:sz w:val="20"/>
        </w:rPr>
      </w:pPr>
      <w:r>
        <w:rPr>
          <w:rFonts w:ascii="Times New Roman" w:hAnsi="Times New Roman"/>
          <w:b/>
          <w:sz w:val="20"/>
        </w:rPr>
        <w:t xml:space="preserve">Off 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Quarterly Report,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 </w:t>
      </w:r>
    </w:p>
    <w:p>
      <w:pPr>
        <w:pStyle w:val="TextBody"/>
        <w:bidi w:val="0"/>
        <w:spacing w:before="120" w:after="0"/>
        <w:jc w:val="left"/>
        <w:rPr>
          <w:rFonts w:ascii="Times New Roman" w:hAnsi="Times New Roman"/>
          <w:sz w:val="20"/>
        </w:rPr>
      </w:pPr>
      <w:r>
        <w:rPr>
          <w:rFonts w:ascii="Times New Roman" w:hAnsi="Times New Roman"/>
          <w:sz w:val="20"/>
        </w:rPr>
        <w:t xml:space="preserve">Currently we do not engage in off-balance sheet financing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and Smaller Reporting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Blaize is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 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 </w:t>
      </w:r>
    </w:p>
    <w:p>
      <w:pPr>
        <w:pStyle w:val="TextBody"/>
        <w:bidi w:val="0"/>
        <w:spacing w:before="240" w:after="0"/>
        <w:jc w:val="left"/>
        <w:rPr>
          <w:rFonts w:ascii="Times New Roman" w:hAnsi="Times New Roman"/>
          <w:sz w:val="20"/>
        </w:rPr>
      </w:pPr>
      <w:r>
        <w:rPr>
          <w:rFonts w:ascii="Times New Roman" w:hAnsi="Times New Roman"/>
          <w:sz w:val="20"/>
        </w:rPr>
        <w:t xml:space="preserve">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 convertible debt securities during the previous three-years.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condensed consolidated financial statements are prepared in accordance with generally accepted accounting principles in the United States (U.S. GAAP). The preparation of these condensed consolidated financial statements requires management to make estimates, assumptions and judgments that affect the reported amounts of assets and liabilities and disclosure of contingent assets and liabilities at the date of the condensed consolidated financial statements, and the reported amounts of revenue and expenses during the applicable periods.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condensed consolidated financial statements, which, in turn, could change the results from those reported. </w:t>
      </w:r>
    </w:p>
    <w:p>
      <w:pPr>
        <w:pStyle w:val="TextBody"/>
        <w:bidi w:val="0"/>
        <w:spacing w:before="120" w:after="0"/>
        <w:jc w:val="left"/>
        <w:rPr>
          <w:rFonts w:ascii="Times New Roman" w:hAnsi="Times New Roman"/>
          <w:sz w:val="20"/>
        </w:rPr>
      </w:pPr>
      <w:r>
        <w:rPr>
          <w:rFonts w:ascii="Times New Roman" w:hAnsi="Times New Roman"/>
          <w:sz w:val="20"/>
        </w:rPr>
        <w:t xml:space="preserve">See Note 2 to our condensed consolidated financial statements included in this Form 10-Q for a description of the significant accounting policies that we use to prepare our condensed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We have considered recently issued accounting pronouncements and are currently evaluating the impact the adoption of such pronouncements will have on our condensed consolidated financial statements. </w:t>
      </w:r>
    </w:p>
    <w:p>
      <w:pPr>
        <w:pStyle w:val="TextBody"/>
        <w:bidi w:val="0"/>
        <w:spacing w:before="360" w:after="0"/>
        <w:jc w:val="left"/>
        <w:rPr>
          <w:rFonts w:ascii="Times New Roman" w:hAnsi="Times New Roman"/>
          <w:b/>
          <w:sz w:val="20"/>
        </w:rPr>
      </w:pPr>
      <w:bookmarkStart w:id="11" w:name="l10q63969_9"/>
      <w:bookmarkEnd w:id="11"/>
      <w:r>
        <w:rPr>
          <w:rFonts w:ascii="Times New Roman" w:hAnsi="Times New Roman"/>
          <w:b/>
          <w:sz w:val="20"/>
        </w:rPr>
        <w:t xml:space="preserve">Item 3. 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expose us to a variety of market risks. We monitor and manage these financial exposures as an integral part of our overall risk management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Exchange Rate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foreign currency exchange rate risk by virtue of our international operations. This risk arises because we use different currencies to recognize revenue and pay operating expenses. We derived 100% and 61% of our revenue for the three months ended March 31, 2025 and 2024,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 </w:t>
      </w:r>
    </w:p>
    <w:p>
      <w:pPr>
        <w:pStyle w:val="TextBody"/>
        <w:bidi w:val="0"/>
        <w:spacing w:before="240" w:after="0"/>
        <w:jc w:val="left"/>
        <w:rPr>
          <w:rFonts w:ascii="Times New Roman" w:hAnsi="Times New Roman"/>
          <w:sz w:val="20"/>
        </w:rPr>
      </w:pPr>
      <w:r>
        <w:rPr>
          <w:rFonts w:ascii="Times New Roman" w:hAnsi="Times New Roman"/>
          <w:sz w:val="20"/>
        </w:rPr>
        <w:t xml:space="preserve">Our reporting and functional currency is the United Stated dollar (U.S. dollar). We are primarily exposed to movements in foreign currencies, predominately in the Indian rupee, British pound, and the Philippine peso, which are the local currencies of our foreign subsidiaries whose functional currency is also the US dollar. We are also exposed to movements in the Japanese Yen. </w:t>
      </w:r>
    </w:p>
    <w:p>
      <w:pPr>
        <w:pStyle w:val="TextBody"/>
        <w:bidi w:val="0"/>
        <w:spacing w:before="240" w:after="0"/>
        <w:jc w:val="left"/>
        <w:rPr>
          <w:rFonts w:ascii="Times New Roman" w:hAnsi="Times New Roman"/>
          <w:sz w:val="20"/>
        </w:rPr>
      </w:pPr>
      <w:r>
        <w:rPr>
          <w:rFonts w:ascii="Times New Roman" w:hAnsi="Times New Roman"/>
          <w:sz w:val="20"/>
        </w:rPr>
        <w:t xml:space="preserve">Changes in exchange rates between the applicable foreign currency and the U.S. dollar will affect the remeasurement of our foreign subsidiaries financial results into U.S. dollars for purposes of reporting our consolidated financial results. For the three months ended March 31, 2025 and 2024, the gain on foreign exchange transactions was not 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Our cash accounts in financial institutions may at times exceed the Federal Depository Insurance coverage of $250,000.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as of March 31, 2025 and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one customer accounted for approximately 95% of our total accounts receivable. As of December 31, 2024, one customer accounted for approximately 98% of our total accounts receivable. </w:t>
      </w:r>
    </w:p>
    <w:p>
      <w:pPr>
        <w:pStyle w:val="TextBody"/>
        <w:bidi w:val="0"/>
        <w:spacing w:before="240" w:after="0"/>
        <w:jc w:val="left"/>
        <w:rPr>
          <w:rFonts w:ascii="Times New Roman" w:hAnsi="Times New Roman"/>
          <w:sz w:val="20"/>
        </w:rPr>
      </w:pPr>
      <w:r>
        <w:rPr>
          <w:rFonts w:ascii="Times New Roman" w:hAnsi="Times New Roman"/>
          <w:sz w:val="20"/>
        </w:rPr>
        <w:t xml:space="preserve">Historically, a relatively small number of customers have accounted for a significant portion of our revenue. For the three months ended March 31, 2025, one customer accounted for approximately 95% of our revenue. For the three months ended March 31, 2024, two customers, both related parties, accounted for approximately 100% of our revenue. </w:t>
      </w:r>
    </w:p>
    <w:p>
      <w:pPr>
        <w:pStyle w:val="TextBody"/>
        <w:bidi w:val="0"/>
        <w:spacing w:before="360" w:after="0"/>
        <w:jc w:val="left"/>
        <w:rPr>
          <w:rFonts w:ascii="Times New Roman" w:hAnsi="Times New Roman"/>
          <w:b/>
          <w:sz w:val="20"/>
        </w:rPr>
      </w:pPr>
      <w:bookmarkStart w:id="12" w:name="l10q63969_10"/>
      <w:bookmarkEnd w:id="12"/>
      <w:r>
        <w:rPr>
          <w:rFonts w:ascii="Times New Roman" w:hAnsi="Times New Roman"/>
          <w:b/>
          <w:sz w:val="20"/>
        </w:rPr>
        <w:t xml:space="preserve">Item 4. Controls and Procedures. </w:t>
      </w:r>
    </w:p>
    <w:p>
      <w:pPr>
        <w:pStyle w:val="TextBody"/>
        <w:bidi w:val="0"/>
        <w:spacing w:before="12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maintain disclosure controls and procedures (as defined in Rules 13a-15(e) and 15d-15(e) under the Securities Exchange Act of 1934, as amended (the Exchange Act), which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(our Chief Executive Officer) and Principal Financial and Accounting Officer (our Chief Financial Officer), or persons performing similar functions, as appropriate to allow timely decisions regarding required or necessary disclosures.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Exchange Act Rules 13a-15 and 15d-15, an evaluation was completed under the supervision and with the participation of our management, including our Chief Executive Officer and Chief Financial Officer, of the effectiveness of the design and operation of our disclosure controls and procedures as of the end of the period covered by this Quarterly Report. Prior to the Merger, when preparing the financial statements for the years ended December 31, 2024, BurTech Acquisition Corp. (BurTech) identified a material weakness in internal control over financial reporting. As of December 31, 2024, Blaize, Inc. (Legacy Blaize) did not identify any material weaknesses in internal control over financial reporting. As of March 31, 2025, the material weaknesses of the combined entity have not been remediated by the Company. Solely due to these material weaknesses, our management, including our Chief Executive Officer and Chief Financial Officer, concluded that our disclosure controls and procedures were not effective in providing reasonable assurance that the information required to be disclosed in our reports filed or submitted under the Exchange Act was recorded, processed, summarized, and reported within the time periods specified in the SECs rules and forms as of March 31, 2025.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ongoing remediation efforts and the continued monitoring and maintenance of our control procedures as part of the implementation of Section 404 of the Sarbanes-Oxley Act of 2002, we continue to review, test, and improve the operation of our internal controls. Other than changes relating to ongoing remediation steps, there have not been any changes in our internal control over financial reporting (as such term is defined in Rules 13a-15(f) and 15d-15(f) under the Exchange Act) that occurred during the three months ended March 31, 2025, that have materially affected, or are reasonably likely to materially affect, our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l10q63969_11"/>
      <w:bookmarkEnd w:id="13"/>
      <w:r>
        <w:rPr>
          <w:rFonts w:ascii="Times New Roman" w:hAnsi="Times New Roman"/>
          <w:b/>
          <w:sz w:val="20"/>
        </w:rPr>
        <w:t xml:space="preserve">PART II. OTHER INFORMATION </w:t>
      </w:r>
    </w:p>
    <w:p>
      <w:pPr>
        <w:pStyle w:val="TextBody"/>
        <w:bidi w:val="0"/>
        <w:spacing w:before="240" w:after="0"/>
        <w:jc w:val="left"/>
        <w:rPr>
          <w:rFonts w:ascii="Times New Roman" w:hAnsi="Times New Roman"/>
          <w:b/>
          <w:sz w:val="20"/>
        </w:rPr>
      </w:pPr>
      <w:bookmarkStart w:id="14" w:name="l10q63969_12"/>
      <w:bookmarkEnd w:id="14"/>
      <w:r>
        <w:rPr>
          <w:rFonts w:ascii="Times New Roman" w:hAnsi="Times New Roman"/>
          <w:b/>
          <w:sz w:val="20"/>
        </w:rPr>
        <w:t xml:space="preserve">Item 1.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litigation or other legal proceedings. See Note 14 of the Notes to the Condensed Consolidated Financial Statements in Item 1. Financial Statements (unaudited) of Part I of this Quarterly Report, which is incorporated by reference in this Item 1, for additional information regarding </w:t>
      </w:r>
      <w:r>
        <w:rPr>
          <w:rFonts w:ascii="Times New Roman" w:hAnsi="Times New Roman"/>
          <w:i/>
          <w:sz w:val="20"/>
        </w:rPr>
        <w:t>Jefferies LLC vs. Blaize</w:t>
      </w:r>
      <w:r>
        <w:rPr>
          <w:rFonts w:ascii="Times New Roman" w:hAnsi="Times New Roman"/>
          <w:sz w:val="20"/>
        </w:rPr>
        <w:t xml:space="preserve"> </w:t>
      </w:r>
      <w:r>
        <w:rPr>
          <w:rFonts w:ascii="Times New Roman" w:hAnsi="Times New Roman"/>
          <w:i/>
          <w:sz w:val="20"/>
        </w:rPr>
        <w:t>Holdings, Inc</w:t>
      </w:r>
      <w:r>
        <w:rPr>
          <w:rFonts w:ascii="Times New Roman" w:hAnsi="Times New Roman"/>
          <w:sz w:val="20"/>
        </w:rPr>
        <w:t xml:space="preserve">. Except as described by the foregoing,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 </w:t>
      </w:r>
    </w:p>
    <w:p>
      <w:pPr>
        <w:pStyle w:val="TextBody"/>
        <w:bidi w:val="0"/>
        <w:spacing w:before="360" w:after="0"/>
        <w:jc w:val="left"/>
        <w:rPr>
          <w:rFonts w:ascii="Times New Roman" w:hAnsi="Times New Roman"/>
          <w:b/>
          <w:sz w:val="20"/>
        </w:rPr>
      </w:pPr>
      <w:bookmarkStart w:id="15" w:name="l10q63969_13"/>
      <w:bookmarkEnd w:id="15"/>
      <w:r>
        <w:rPr>
          <w:rFonts w:ascii="Times New Roman" w:hAnsi="Times New Roman"/>
          <w:b/>
          <w:sz w:val="20"/>
        </w:rPr>
        <w:t xml:space="preserve">Item 1A. Risk Factors.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risk factors listed below, there have been no material changes from the risk factors previously described under Part 1, Item 1A of our Annual Report on Form 10-K for the year ended December 31, 2024, filed with the SEC on April 15, 2025.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depend on third-party manufacturers, including Samsung Foundry and Plexus, for producing our products, and in the event of a disruption in our supply chain, any efforts to develop alternative supply sources may not be successful or may take longer to take effect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As a fabless company, Blaize does not manufacture its own semiconductor or System-on-a-Chip (SoC) products and currently relies on third-party manufacturers, including Samsung Foundry and Plexus, to produce our products. Additionally, Blaize has a design, manufacturing and sales agreement with VeriSilicon, Inc. (VeriSilicon) that provides Blaize with design expertise, support and assistance, and certain deliverables, prototypes, products and services from VeriSilicon. Blaize cannot be sure that these manufacturers will remain in business, or that they will not be purchased by one of Blaizes competitors or another company that is not interested in continuing to produce these products for Blaizes intended purpose. Our reliance on these third-party manufacturers subjects us to a number of risks that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interruption of supply resulting from modifications to or discontinuation of a manufacturers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product shipments resulting from uncorrected defects, reliability issues or a manufacturers variation in a component;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lack of long-term supply arrangements with our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delay in delivery due to its suppliers prioritizing other customer orders over Blaizes;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 to our reputation caused by defective products produced by our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 in delivery by our suppliers due to changes in demand from our or their other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interruptions, shortages, delivery delays and potential discontinuation of supply as a result of reasons outside Blaizes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legal and economic changes, crises or instability and civil unrest in the jurisdictions where Blaizes manufacturers plants are located, such as changes in China-Taiwan relations that may adversely affect Blaizes manufacturers and suppliers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currency conversion risks and exchange rate fluctuations;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requirements of U.S. customs and international trade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Blaizes semiconductor or SoC products could be produced by other manufacturers, any attempt to transition our supply arrangement to one or more other manufacturers could entail significant coordination and expense and could lead to delays in production. If Blaize is unable to arrange for sufficient production capacity among our contract manufacturers or if our contract manufacturers encounter production, quality, financial, or other difficulties, Blaize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Blaizes and its customers specifications. Any disruption in supply from any supplier or manufacturing location could lead to supply delays or interruptions that could damage Blaizes business or financial condition. If any of the risks discussed above materialize, costs could significantly increase, and Blaizes ability to meet demand for its products could be impacted.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cannot predict what additional actions, if any, may be taken with respect to tariffs or trade relations between the United States and China, what products may be subject to such actions, or what actions may be taken by the China in retaliation. The adoption and expansion of trade restrictions, the occurrence of a trade war, or other governmental action related to tariffs, trade agreements or related policies have the potential to adversely impact our supply chain and access to equipment, our costs and our product margins. The additional tariffs imposed on components or equipment that we source from China will increase our costs and could have an adverse impact on our operating results and financial conditions in future periods. Blaizes supply chain and product assembly is global in nature. While most of the goods movement, including imports and exports, required to manufacture and test Blaize products are restricted to Asian countries, there are certain components that must enter or exit the US. Those components are at the highest risk of being affected by the aforementioned changes, and in turn disrupting the supply chain and Blaizes products pipeline. </w:t>
      </w:r>
    </w:p>
    <w:p>
      <w:pPr>
        <w:pStyle w:val="TextBody"/>
        <w:bidi w:val="0"/>
        <w:spacing w:before="360" w:after="0"/>
        <w:jc w:val="left"/>
        <w:rPr>
          <w:rFonts w:ascii="Times New Roman" w:hAnsi="Times New Roman"/>
          <w:b/>
          <w:sz w:val="20"/>
        </w:rPr>
      </w:pPr>
      <w:bookmarkStart w:id="16" w:name="l10q63969_14"/>
      <w:bookmarkEnd w:id="16"/>
      <w:r>
        <w:rPr>
          <w:rFonts w:ascii="Times New Roman" w:hAnsi="Times New Roman"/>
          <w:b/>
          <w:sz w:val="20"/>
        </w:rPr>
        <w:t xml:space="preserve">Item 2. Unregistered Sales of Equity and Use of Proceeds. </w:t>
      </w:r>
    </w:p>
    <w:p>
      <w:pPr>
        <w:pStyle w:val="TextBody"/>
        <w:bidi w:val="0"/>
        <w:spacing w:before="120" w:after="0"/>
        <w:jc w:val="left"/>
        <w:rPr>
          <w:rFonts w:ascii="Times New Roman" w:hAnsi="Times New Roman"/>
          <w:b/>
          <w:sz w:val="20"/>
        </w:rPr>
      </w:pPr>
      <w:r>
        <w:rPr>
          <w:rFonts w:ascii="Times New Roman" w:hAnsi="Times New Roman"/>
          <w:b/>
          <w:sz w:val="20"/>
        </w:rPr>
        <w:t xml:space="preserve">(a)Recent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On February 10, 2025, in connection with that certain Letter Agreement (the Roth Letter Agreement), dated December 23, 2024, by and between the Company and Roth Capital Partners, LLC (Roth), the Company issued approximately 63,157 shares of Common Stock to Roth in a private placement under the Securities Act. Further, on February 10, 2025, in connection with that certain Letter Agreement, dated January 13, 2025, by and between Legacy Blaize and Craig-Hallum Capital Group LLC and its affiliates (Craig-Hallum), the Company issued (i) 31,792 shares of Common Stock to Craig-Hallum and (ii) warrants exercisable for up to 50,000 shares of Common Stock at a price of $11.50 per share (the CMA Warrants), in each case, in a private placement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(b)Use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(c)Issuer Repurchases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7" w:name="l10q63969_15"/>
      <w:bookmarkEnd w:id="17"/>
      <w:r>
        <w:rPr>
          <w:rFonts w:ascii="Times New Roman" w:hAnsi="Times New Roman"/>
          <w:b/>
          <w:sz w:val="20"/>
        </w:rPr>
        <w:t xml:space="preserve">Item 3. Defaults Upon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8" w:name="l10q63969_16"/>
      <w:bookmarkEnd w:id="18"/>
      <w:r>
        <w:rPr>
          <w:rFonts w:ascii="Times New Roman" w:hAnsi="Times New Roman"/>
          <w:b/>
          <w:sz w:val="20"/>
        </w:rPr>
        <w:t xml:space="preserve">Item 4. Mine Safety Disclosures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bookmarkStart w:id="19" w:name="l10q63969_17"/>
      <w:bookmarkEnd w:id="19"/>
      <w:r>
        <w:rPr>
          <w:rFonts w:ascii="Times New Roman" w:hAnsi="Times New Roman"/>
          <w:b/>
          <w:sz w:val="20"/>
        </w:rPr>
        <w:t xml:space="preserve">Item 5. Other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(c)Insider Adoption or Termination of Trading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No director or officer adopted or terminated a trading arrangement for the purchase of Company securities for the quarterly period ended March 31, 2025 that is either (1) a contract, instruction or written plan intended to satisfy the affirmative defense conditions of Rule 10b5-1(c), or a Rule 10b5-1 trading arrangement, or (2) a non-Rule 10b5-1 trading arrangement (as defined in Item 408(c) of Regulation 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0" w:name="l10q63969_18"/>
      <w:bookmarkEnd w:id="20"/>
      <w:r>
        <w:rPr>
          <w:rFonts w:ascii="Times New Roman" w:hAnsi="Times New Roman"/>
          <w:b/>
          <w:sz w:val="20"/>
        </w:rPr>
        <w:t xml:space="preserve">Item 6.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list of exhibits filed as part of this Quarterly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1"/>
        <w:gridCol w:w="107"/>
        <w:gridCol w:w="5504"/>
        <w:gridCol w:w="228"/>
        <w:gridCol w:w="228"/>
        <w:gridCol w:w="782"/>
        <w:gridCol w:w="60"/>
        <w:gridCol w:w="167"/>
        <w:gridCol w:w="100"/>
        <w:gridCol w:w="967"/>
        <w:gridCol w:w="60"/>
        <w:gridCol w:w="153"/>
        <w:gridCol w:w="68"/>
        <w:gridCol w:w="717"/>
        <w:gridCol w:w="113"/>
      </w:tblGrid>
      <w:tr>
        <w:trPr/>
        <w:tc>
          <w:tcPr>
            <w:tcW w:w="95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5504"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r>
      <w:tr>
        <w:trPr/>
        <w:tc>
          <w:tcPr>
            <w:tcW w:w="95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5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30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113" w:type="dxa"/>
            <w:tcBorders/>
            <w:vAlign w:val="bottom"/>
          </w:tcPr>
          <w:p>
            <w:pPr>
              <w:pStyle w:val="TableContents"/>
              <w:bidi w:val="0"/>
              <w:spacing w:before="0" w:after="283"/>
              <w:jc w:val="left"/>
              <w:rPr/>
            </w:pPr>
            <w:r>
              <w:rPr/>
              <w:t> </w:t>
            </w:r>
          </w:p>
        </w:tc>
      </w:tr>
      <w:tr>
        <w:trPr/>
        <w:tc>
          <w:tcPr>
            <w:tcW w:w="9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No.</w:t>
            </w:r>
          </w:p>
        </w:tc>
        <w:tc>
          <w:tcPr>
            <w:tcW w:w="107" w:type="dxa"/>
            <w:tcBorders/>
            <w:vAlign w:val="bottom"/>
          </w:tcPr>
          <w:p>
            <w:pPr>
              <w:pStyle w:val="TableContents"/>
              <w:bidi w:val="0"/>
              <w:spacing w:before="0" w:after="283"/>
              <w:jc w:val="left"/>
              <w:rPr/>
            </w:pPr>
            <w:r>
              <w:rPr/>
              <w:t> </w:t>
            </w:r>
          </w:p>
        </w:tc>
        <w:tc>
          <w:tcPr>
            <w:tcW w:w="55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228"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w:t>
              <w:br/>
              <w:t>Form</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br/>
              <w:t>Reference</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113" w:type="dxa"/>
            <w:tcBorders/>
            <w:vAlign w:val="bottom"/>
          </w:tcPr>
          <w:p>
            <w:pPr>
              <w:pStyle w:val="TableContents"/>
              <w:bidi w:val="0"/>
              <w:spacing w:before="0" w:after="283"/>
              <w:jc w:val="left"/>
              <w:rPr/>
            </w:pPr>
            <w:r>
              <w:rPr/>
              <w:t> </w:t>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 </w:t>
            </w:r>
            <w:r>
              <w:rPr/>
              <w:t>3.1</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r:id="rId3">
              <w:r>
                <w:rPr>
                  <w:rStyle w:val="InternetLink"/>
                </w:rPr>
                <w:t xml:space="preserve">Third Amended and Restated Certificate of Incorporation of Blaize Holdings, Inc.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center"/>
              <w:rPr/>
            </w:pPr>
            <w:r>
              <w:rPr/>
              <w:t>3.1</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center"/>
              <w:rPr/>
            </w:pPr>
            <w:r>
              <w:rPr/>
              <w:t>1/17/2025</w:t>
            </w:r>
          </w:p>
        </w:tc>
        <w:tc>
          <w:tcPr>
            <w:tcW w:w="113" w:type="dxa"/>
            <w:tcBorders/>
            <w:vAlign w:val="bottom"/>
          </w:tcPr>
          <w:p>
            <w:pPr>
              <w:pStyle w:val="TableContents"/>
              <w:bidi w:val="0"/>
              <w:spacing w:before="0" w:after="283"/>
              <w:jc w:val="left"/>
              <w:rPr/>
            </w:pPr>
            <w:r>
              <w:rPr/>
              <w:t> </w:t>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 </w:t>
            </w:r>
            <w:r>
              <w:rPr/>
              <w:t>3.2</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r:id="rId4">
              <w:r>
                <w:rPr>
                  <w:rStyle w:val="InternetLink"/>
                </w:rPr>
                <w:t xml:space="preserve">Amended and Restated Bylaws of Blaize Holdings, Inc.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center"/>
              <w:rPr/>
            </w:pPr>
            <w:r>
              <w:rPr/>
              <w:t>3.2</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center"/>
              <w:rPr/>
            </w:pPr>
            <w:r>
              <w:rPr/>
              <w:t>1/17/2025</w:t>
            </w:r>
          </w:p>
        </w:tc>
        <w:tc>
          <w:tcPr>
            <w:tcW w:w="113" w:type="dxa"/>
            <w:tcBorders/>
            <w:vAlign w:val="bottom"/>
          </w:tcPr>
          <w:p>
            <w:pPr>
              <w:pStyle w:val="TableContents"/>
              <w:bidi w:val="0"/>
              <w:spacing w:before="0" w:after="283"/>
              <w:jc w:val="left"/>
              <w:rPr/>
            </w:pPr>
            <w:r>
              <w:rPr/>
              <w:t> </w:t>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 </w:t>
            </w:r>
            <w:r>
              <w:rPr/>
              <w:t>4.1</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r:id="rId5">
              <w:r>
                <w:rPr>
                  <w:rStyle w:val="InternetLink"/>
                </w:rPr>
                <w:t xml:space="preserve">Registration Rights Agreement, dated as of January  13, 2025, by and among the Company and certain stockholders of Legacy Blaize named therein.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center"/>
              <w:rPr/>
            </w:pPr>
            <w:r>
              <w:rPr/>
              <w:t>10.11</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center"/>
              <w:rPr/>
            </w:pPr>
            <w:r>
              <w:rPr/>
              <w:t>1/17/2025</w:t>
            </w:r>
          </w:p>
        </w:tc>
        <w:tc>
          <w:tcPr>
            <w:tcW w:w="113" w:type="dxa"/>
            <w:tcBorders/>
            <w:vAlign w:val="bottom"/>
          </w:tcPr>
          <w:p>
            <w:pPr>
              <w:pStyle w:val="TableContents"/>
              <w:bidi w:val="0"/>
              <w:spacing w:before="0" w:after="283"/>
              <w:jc w:val="left"/>
              <w:rPr/>
            </w:pPr>
            <w:r>
              <w:rPr/>
              <w:t> </w:t>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 </w:t>
            </w:r>
            <w:r>
              <w:rPr/>
              <w:t>4.2</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r:id="rId6">
              <w:r>
                <w:rPr>
                  <w:rStyle w:val="InternetLink"/>
                </w:rPr>
                <w:t xml:space="preserve">Amended and Restated Registration Rights Agreement, dated as of January  13, 2025, by and among the Company, certain stockholders of BurTech named therein and certain stockholders of Legacy Blaize named therein.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center"/>
              <w:rPr/>
            </w:pPr>
            <w:r>
              <w:rPr/>
              <w:t>10.1</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center"/>
              <w:rPr/>
            </w:pPr>
            <w:r>
              <w:rPr/>
              <w:t>1/17/2025</w:t>
            </w:r>
          </w:p>
        </w:tc>
        <w:tc>
          <w:tcPr>
            <w:tcW w:w="113" w:type="dxa"/>
            <w:tcBorders/>
            <w:vAlign w:val="bottom"/>
          </w:tcPr>
          <w:p>
            <w:pPr>
              <w:pStyle w:val="TableContents"/>
              <w:bidi w:val="0"/>
              <w:spacing w:before="0" w:after="283"/>
              <w:jc w:val="left"/>
              <w:rPr/>
            </w:pPr>
            <w:r>
              <w:rPr/>
              <w:t> </w:t>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10.1</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r:id="rId7">
              <w:r>
                <w:rPr>
                  <w:rStyle w:val="InternetLink"/>
                </w:rPr>
                <w:t xml:space="preserve">Form of Indemnification Agreement.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center"/>
              <w:rPr/>
            </w:pPr>
            <w:r>
              <w:rPr/>
              <w:t>10.3</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center"/>
              <w:rPr/>
            </w:pPr>
            <w:r>
              <w:rPr/>
              <w:t>1/17/2025</w:t>
            </w:r>
          </w:p>
        </w:tc>
        <w:tc>
          <w:tcPr>
            <w:tcW w:w="113" w:type="dxa"/>
            <w:tcBorders/>
            <w:vAlign w:val="bottom"/>
          </w:tcPr>
          <w:p>
            <w:pPr>
              <w:pStyle w:val="TableContents"/>
              <w:bidi w:val="0"/>
              <w:spacing w:before="0" w:after="283"/>
              <w:jc w:val="left"/>
              <w:rPr/>
            </w:pPr>
            <w:r>
              <w:rPr/>
              <w:t> </w:t>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10.2</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r:id="rId8">
              <w:r>
                <w:rPr>
                  <w:rStyle w:val="InternetLink"/>
                </w:rPr>
                <w:t xml:space="preserve">Form of PIPE Subscription Agreement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center"/>
              <w:rPr/>
            </w:pPr>
            <w:r>
              <w:rPr/>
              <w:t>10.1</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center"/>
              <w:rPr/>
            </w:pPr>
            <w:r>
              <w:rPr/>
              <w:t>1/8/2025</w:t>
            </w:r>
          </w:p>
        </w:tc>
        <w:tc>
          <w:tcPr>
            <w:tcW w:w="113" w:type="dxa"/>
            <w:tcBorders/>
            <w:vAlign w:val="bottom"/>
          </w:tcPr>
          <w:p>
            <w:pPr>
              <w:pStyle w:val="TableContents"/>
              <w:bidi w:val="0"/>
              <w:spacing w:before="0" w:after="283"/>
              <w:jc w:val="left"/>
              <w:rPr/>
            </w:pPr>
            <w:r>
              <w:rPr/>
              <w:t> </w:t>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10.3</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r:id="rId9">
              <w:r>
                <w:rPr>
                  <w:rStyle w:val="InternetLink"/>
                </w:rPr>
                <w:t xml:space="preserve">Stockholder Lock-Up Agreement, dated as of January  13, 2025, by and among the Company and certain stockholders of Legacy Blaize named therein.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center"/>
              <w:rPr/>
            </w:pPr>
            <w:r>
              <w:rPr/>
              <w:t>10.12</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center"/>
              <w:rPr/>
            </w:pPr>
            <w:r>
              <w:rPr/>
              <w:t>1/17/2025</w:t>
            </w:r>
          </w:p>
        </w:tc>
        <w:tc>
          <w:tcPr>
            <w:tcW w:w="113" w:type="dxa"/>
            <w:tcBorders/>
            <w:vAlign w:val="bottom"/>
          </w:tcPr>
          <w:p>
            <w:pPr>
              <w:pStyle w:val="TableContents"/>
              <w:bidi w:val="0"/>
              <w:spacing w:before="0" w:after="283"/>
              <w:jc w:val="left"/>
              <w:rPr/>
            </w:pPr>
            <w:r>
              <w:rPr/>
              <w:t> </w:t>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10.4</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r:id="rId10">
              <w:r>
                <w:rPr>
                  <w:rStyle w:val="InternetLink"/>
                </w:rPr>
                <w:t xml:space="preserve">Noteholder Lock-Up Agreement, dated as of January  13, 2025, by and among the Company and certain securityholders of Legacy Blaize named therein.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center"/>
              <w:rPr/>
            </w:pPr>
            <w:r>
              <w:rPr/>
              <w:t>10.13</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center"/>
              <w:rPr/>
            </w:pPr>
            <w:r>
              <w:rPr/>
              <w:t>1/17/2025</w:t>
            </w:r>
          </w:p>
        </w:tc>
        <w:tc>
          <w:tcPr>
            <w:tcW w:w="113" w:type="dxa"/>
            <w:tcBorders/>
            <w:vAlign w:val="bottom"/>
          </w:tcPr>
          <w:p>
            <w:pPr>
              <w:pStyle w:val="TableContents"/>
              <w:bidi w:val="0"/>
              <w:spacing w:before="0" w:after="283"/>
              <w:jc w:val="left"/>
              <w:rPr/>
            </w:pPr>
            <w:r>
              <w:rPr/>
              <w:t> </w:t>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10.5</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r:id="rId11">
              <w:r>
                <w:rPr>
                  <w:rStyle w:val="InternetLink"/>
                </w:rPr>
                <w:t xml:space="preserve">Secured Promissory Note and Pledge Agreement, dated as of January 13, 2025, by and among BurTech LP LLC and BurTech.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center"/>
              <w:rPr/>
            </w:pPr>
            <w:r>
              <w:rPr/>
              <w:t>10.14</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center"/>
              <w:rPr/>
            </w:pPr>
            <w:r>
              <w:rPr/>
              <w:t>1/17/2025</w:t>
            </w:r>
          </w:p>
        </w:tc>
        <w:tc>
          <w:tcPr>
            <w:tcW w:w="113" w:type="dxa"/>
            <w:tcBorders/>
            <w:vAlign w:val="bottom"/>
          </w:tcPr>
          <w:p>
            <w:pPr>
              <w:pStyle w:val="TableContents"/>
              <w:bidi w:val="0"/>
              <w:spacing w:before="0" w:after="283"/>
              <w:jc w:val="left"/>
              <w:rPr/>
            </w:pPr>
            <w:r>
              <w:rPr/>
              <w:t> </w:t>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10.6</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r:id="rId12">
              <w:r>
                <w:rPr>
                  <w:rStyle w:val="InternetLink"/>
                </w:rPr>
                <w:t>Letter Agreement, dated as of January 13, 2025, by and among BurTech, Merger Sub, Blaize and Burkhan BurTech LP LLC and Blaize.</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center"/>
              <w:rPr/>
            </w:pPr>
            <w:r>
              <w:rPr/>
              <w:t>10.15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center"/>
              <w:rPr/>
            </w:pPr>
            <w:r>
              <w:rPr/>
              <w:t>1/17/2025</w:t>
            </w:r>
          </w:p>
        </w:tc>
        <w:tc>
          <w:tcPr>
            <w:tcW w:w="113" w:type="dxa"/>
            <w:tcBorders/>
            <w:vAlign w:val="bottom"/>
          </w:tcPr>
          <w:p>
            <w:pPr>
              <w:pStyle w:val="TableContents"/>
              <w:bidi w:val="0"/>
              <w:spacing w:before="0" w:after="283"/>
              <w:jc w:val="left"/>
              <w:rPr/>
            </w:pPr>
            <w:r>
              <w:rPr/>
              <w:t> </w:t>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10.7*</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w:anchor="t107">
              <w:r>
                <w:rPr>
                  <w:rStyle w:val="InternetLink"/>
                </w:rPr>
                <w:t xml:space="preserve">Amended and Restated Blaize Holdings, Inc. Non-Employee Director Compensation Program.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10.8</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r:id="rId13">
              <w:r>
                <w:rPr>
                  <w:rStyle w:val="InternetLink"/>
                </w:rPr>
                <w:t>Form of Stock Option Grant Agreement (Contingent Exercise) and Grant Notice under the Blaize, Inc. Amended and Restated 2011 Stock Plan.</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center"/>
              <w:rPr/>
            </w:pPr>
            <w:r>
              <w:rPr/>
              <w:t>10.22</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center"/>
              <w:rPr/>
            </w:pPr>
            <w:r>
              <w:rPr/>
              <w:t>1/17/2025</w:t>
            </w:r>
          </w:p>
        </w:tc>
        <w:tc>
          <w:tcPr>
            <w:tcW w:w="113" w:type="dxa"/>
            <w:tcBorders/>
            <w:vAlign w:val="bottom"/>
          </w:tcPr>
          <w:p>
            <w:pPr>
              <w:pStyle w:val="TableContents"/>
              <w:bidi w:val="0"/>
              <w:spacing w:before="0" w:after="283"/>
              <w:jc w:val="left"/>
              <w:rPr/>
            </w:pPr>
            <w:r>
              <w:rPr/>
              <w:t> </w:t>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31.1**</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w:anchor="t311">
              <w:r>
                <w:rPr>
                  <w:rStyle w:val="InternetLink"/>
                </w:rPr>
                <w:t xml:space="preserve">Certification of Principal Executive Officer Pursuant to Rules 13a-14(a) and 15d-14(a) under the Securities Exchange Act of 1934, as Adopted Pursuant to Section 302 of the Sarbanes-Oxley Act of 2002.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31.2**</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w:anchor="t312">
              <w:r>
                <w:rPr>
                  <w:rStyle w:val="InternetLink"/>
                </w:rPr>
                <w:t xml:space="preserve">Certification of Principal Financial Officer Pursuant to Rules 13a-14(a) and 15d-14(a) under the Securities Exchange Act of 1934, as Adopted Pursuant to Section 302 of the Sarbanes-Oxley Act of 2002.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32.1#**</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w:anchor="t321">
              <w:r>
                <w:rPr>
                  <w:rStyle w:val="InternetLink"/>
                </w:rPr>
                <w:t xml:space="preserve">Certification of Principal Executive Officer Pursuant to 18 U.S.C. Section 1350, as Adopted Pursuant to Section 906 of the Sarbanes-Oxley Act of 2002.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32.2#**</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hyperlink w:anchor="t322">
              <w:r>
                <w:rPr>
                  <w:rStyle w:val="InternetLink"/>
                </w:rPr>
                <w:t xml:space="preserve">Certification of Principal Financial Officer Pursuant to 18 U.S.C. Section 1350, as Adopted Pursuant to Section 906 of the Sarbanes-Oxley Act of 2002. </w:t>
              </w:r>
            </w:hyperlink>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101.INS</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r>
              <w:rPr/>
              <w:t>Inline XBRL Instance Document  the instance document does not appear in the Interactive Data File because XBRL tags are embedded within the Inline XBRL document.</w:t>
            </w:r>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101.SCH</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r>
              <w:rPr/>
              <w:t>Inline XBRL Taxonomy Extension Schema With Embedded Linkbase Documents</w:t>
            </w:r>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1" w:type="dxa"/>
            <w:tcBorders/>
            <w:vAlign w:val="center"/>
          </w:tcPr>
          <w:p>
            <w:pPr>
              <w:pStyle w:val="TableContents"/>
              <w:bidi w:val="0"/>
              <w:spacing w:before="0" w:after="283"/>
              <w:jc w:val="left"/>
              <w:rPr>
                <w:sz w:val="4"/>
                <w:szCs w:val="4"/>
              </w:rPr>
            </w:pPr>
            <w:r>
              <w:rPr>
                <w:sz w:val="4"/>
                <w:szCs w:val="4"/>
              </w:rPr>
            </w:r>
          </w:p>
        </w:tc>
        <w:tc>
          <w:tcPr>
            <w:tcW w:w="5611" w:type="dxa"/>
            <w:gridSpan w:val="2"/>
            <w:tcBorders/>
            <w:vAlign w:val="center"/>
          </w:tcPr>
          <w:p>
            <w:pPr>
              <w:pStyle w:val="TableContents"/>
              <w:bidi w:val="0"/>
              <w:spacing w:before="0" w:after="283"/>
              <w:jc w:val="left"/>
              <w:rPr>
                <w:sz w:val="4"/>
                <w:szCs w:val="4"/>
              </w:rPr>
            </w:pPr>
            <w:r>
              <w:rPr>
                <w:sz w:val="4"/>
                <w:szCs w:val="4"/>
              </w:rPr>
            </w:r>
          </w:p>
        </w:tc>
        <w:tc>
          <w:tcPr>
            <w:tcW w:w="1298"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104</w:t>
            </w:r>
          </w:p>
        </w:tc>
        <w:tc>
          <w:tcPr>
            <w:tcW w:w="107"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left"/>
              <w:rPr/>
            </w:pPr>
            <w:r>
              <w:rPr/>
              <w:t>Cover Page Interactive Data File (embedded within the Inline XBRL document)</w:t>
            </w:r>
          </w:p>
        </w:tc>
        <w:tc>
          <w:tcPr>
            <w:tcW w:w="2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contract or compensatory plan or arrangement.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Annual Report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l10q63969_19"/>
      <w:bookmarkEnd w:id="21"/>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Pursuant to the requirements of Section 13 or 15(d) of the Securities Exchange Act of 1934, as amended, the Registrant has duly caused this Quarterly Report to be signed on its behalf by the undersigned, thereunto duly authorized</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2"/>
        <w:gridCol w:w="102"/>
        <w:gridCol w:w="405"/>
        <w:gridCol w:w="102"/>
        <w:gridCol w:w="310"/>
        <w:gridCol w:w="102"/>
        <w:gridCol w:w="4592"/>
      </w:tblGrid>
      <w:tr>
        <w:trPr/>
        <w:tc>
          <w:tcPr>
            <w:tcW w:w="459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2"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b/>
              </w:rPr>
            </w:pPr>
            <w:r>
              <w:rPr>
                <w:b/>
              </w:rPr>
              <w:t>BLAIZE HOLDINGS, INC.</w:t>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sz w:val="4"/>
                <w:szCs w:val="4"/>
              </w:rPr>
            </w:pPr>
            <w:r>
              <w:rPr>
                <w:sz w:val="4"/>
                <w:szCs w:val="4"/>
              </w:rPr>
            </w:r>
          </w:p>
        </w:tc>
      </w:tr>
      <w:tr>
        <w:trPr>
          <w:trHeight w:val="240" w:hRule="atLeast"/>
        </w:trPr>
        <w:tc>
          <w:tcPr>
            <w:tcW w:w="4592"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c>
          <w:tcPr>
            <w:tcW w:w="4694" w:type="dxa"/>
            <w:gridSpan w:val="2"/>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Date: May 14, 2025</w:t>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2"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Dinakar Munagala</w:t>
            </w:r>
          </w:p>
        </w:tc>
      </w:tr>
      <w:tr>
        <w:trPr/>
        <w:tc>
          <w:tcPr>
            <w:tcW w:w="45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Dinakar Munagala</w:t>
            </w:r>
          </w:p>
        </w:tc>
      </w:tr>
      <w:tr>
        <w:trPr/>
        <w:tc>
          <w:tcPr>
            <w:tcW w:w="45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Chief Executive Officer</w:t>
            </w:r>
          </w:p>
        </w:tc>
      </w:tr>
      <w:tr>
        <w:trPr/>
        <w:tc>
          <w:tcPr>
            <w:tcW w:w="45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(Principal Executive Officer and Duly Authorized Officer)</w:t>
            </w:r>
          </w:p>
        </w:tc>
      </w:tr>
      <w:tr>
        <w:trPr>
          <w:trHeight w:val="240" w:hRule="atLeast"/>
        </w:trPr>
        <w:tc>
          <w:tcPr>
            <w:tcW w:w="4592"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c>
          <w:tcPr>
            <w:tcW w:w="4694" w:type="dxa"/>
            <w:gridSpan w:val="2"/>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Date: May 14, 2025</w:t>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2"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Harminder Sehmi</w:t>
            </w:r>
          </w:p>
        </w:tc>
      </w:tr>
      <w:tr>
        <w:trPr/>
        <w:tc>
          <w:tcPr>
            <w:tcW w:w="45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Harminder Sehmi</w:t>
            </w:r>
          </w:p>
        </w:tc>
      </w:tr>
      <w:tr>
        <w:trPr/>
        <w:tc>
          <w:tcPr>
            <w:tcW w:w="45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Chief Financial Officer</w:t>
            </w:r>
          </w:p>
        </w:tc>
      </w:tr>
      <w:tr>
        <w:trPr/>
        <w:tc>
          <w:tcPr>
            <w:tcW w:w="45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(Principal Financial and Accounting Officer and Duly Authorized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 w:name="t107"/>
      <w:bookmarkEnd w:id="22"/>
      <w:r>
        <w:rPr>
          <w:rFonts w:ascii="Times New Roman" w:hAnsi="Times New Roman"/>
          <w:b/>
          <w:sz w:val="20"/>
        </w:rPr>
        <w:t xml:space="preserve">Exhibit 10.7 </w:t>
      </w:r>
    </w:p>
    <w:p>
      <w:pPr>
        <w:pStyle w:val="TextBody"/>
        <w:bidi w:val="0"/>
        <w:spacing w:before="48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NON-EMPLOYEE DIRECTOR COMPENSATION PROGRAM </w:t>
      </w:r>
    </w:p>
    <w:p>
      <w:pPr>
        <w:pStyle w:val="TextBody"/>
        <w:bidi w:val="0"/>
        <w:spacing w:before="240" w:after="0"/>
        <w:jc w:val="left"/>
        <w:rPr>
          <w:rFonts w:ascii="Times New Roman" w:hAnsi="Times New Roman"/>
          <w:sz w:val="20"/>
        </w:rPr>
      </w:pPr>
      <w:r>
        <w:rPr>
          <w:rFonts w:ascii="Times New Roman" w:hAnsi="Times New Roman"/>
          <w:sz w:val="20"/>
        </w:rPr>
        <w:t>Eligible Directors (as defined below) on the board of directors (the </w:t>
      </w:r>
      <w:r>
        <w:rPr>
          <w:rFonts w:ascii="Times New Roman" w:hAnsi="Times New Roman"/>
          <w:b/>
          <w:i/>
          <w:sz w:val="20"/>
        </w:rPr>
        <w:t>Board</w:t>
      </w:r>
      <w:r>
        <w:rPr>
          <w:rFonts w:ascii="Times New Roman" w:hAnsi="Times New Roman"/>
          <w:sz w:val="20"/>
        </w:rPr>
        <w:t>) of Blaize Holdings, Inc. (the </w:t>
      </w:r>
      <w:r>
        <w:rPr>
          <w:rFonts w:ascii="Times New Roman" w:hAnsi="Times New Roman"/>
          <w:b/>
          <w:i/>
          <w:sz w:val="20"/>
        </w:rPr>
        <w:t>Company</w:t>
      </w:r>
      <w:r>
        <w:rPr>
          <w:rFonts w:ascii="Times New Roman" w:hAnsi="Times New Roman"/>
          <w:sz w:val="20"/>
        </w:rPr>
        <w:t>) shall be eligible to receive cash and equity compensation as set forth in this Amended and Restated Non-Employee Director Compensation Program (this </w:t>
      </w:r>
      <w:r>
        <w:rPr>
          <w:rFonts w:ascii="Times New Roman" w:hAnsi="Times New Roman"/>
          <w:b/>
          <w:i/>
          <w:sz w:val="20"/>
        </w:rPr>
        <w:t>Program</w:t>
      </w:r>
      <w:r>
        <w:rPr>
          <w:rFonts w:ascii="Times New Roman" w:hAnsi="Times New Roman"/>
          <w:sz w:val="20"/>
        </w:rPr>
        <w:t>). This Program amends and restates in its entirety the Companys Non-Employee Director Compensation Program, which originally became effective on January 13, 2025, the date on which the transactions contemplated by that certain Agreement and Plan of Merger, dated December 22, 2023, by and between BurTech Acquisition Corp., BurTech Merger Sub, Inc., Blaize, Inc. and, solely for the limited purposes set forth therein, Burkhan Capital LLC, closed. The cash and equity compensation described in this Program shall be paid or made, as applicable, automatically as set forth herein and without further action of the Board, to each member of the Board who is not an employee of the Company or any of its parents or subsidiaries and who is determined by the Board to be eligible to receive compensation under this Program (each, an </w:t>
      </w:r>
      <w:r>
        <w:rPr>
          <w:rFonts w:ascii="Times New Roman" w:hAnsi="Times New Roman"/>
          <w:b/>
          <w:i/>
          <w:sz w:val="20"/>
        </w:rPr>
        <w:t>Eligible Director</w:t>
      </w:r>
      <w:r>
        <w:rPr>
          <w:rFonts w:ascii="Times New Roman" w:hAnsi="Times New Roman"/>
          <w:sz w:val="20"/>
        </w:rPr>
        <w:t xml:space="preserve">), who may be eligible to receive such cash or equity compensation, unless such Eligible Director declines the receipt of such cash or equity compensation by written notice to the Company. </w:t>
      </w:r>
    </w:p>
    <w:p>
      <w:pPr>
        <w:pStyle w:val="TextBody"/>
        <w:bidi w:val="0"/>
        <w:spacing w:before="240" w:after="0"/>
        <w:jc w:val="left"/>
        <w:rPr>
          <w:rFonts w:ascii="Times New Roman" w:hAnsi="Times New Roman"/>
          <w:sz w:val="20"/>
        </w:rPr>
      </w:pPr>
      <w:r>
        <w:rPr>
          <w:rFonts w:ascii="Times New Roman" w:hAnsi="Times New Roman"/>
          <w:sz w:val="20"/>
        </w:rPr>
        <w:t>This Program shall be effective as of March 3, 2025 (the </w:t>
      </w:r>
      <w:r>
        <w:rPr>
          <w:rFonts w:ascii="Times New Roman" w:hAnsi="Times New Roman"/>
          <w:b/>
          <w:i/>
          <w:sz w:val="20"/>
        </w:rPr>
        <w:t>Effective Date</w:t>
      </w:r>
      <w:r>
        <w:rPr>
          <w:rFonts w:ascii="Times New Roman" w:hAnsi="Times New Roman"/>
          <w:sz w:val="20"/>
        </w:rPr>
        <w:t xml:space="preserve">)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 </w:t>
      </w:r>
    </w:p>
    <w:p>
      <w:pPr>
        <w:pStyle w:val="TextBody"/>
        <w:bidi w:val="0"/>
        <w:spacing w:before="240" w:after="0"/>
        <w:jc w:val="left"/>
        <w:rPr>
          <w:rFonts w:ascii="Times New Roman" w:hAnsi="Times New Roman"/>
          <w:sz w:val="20"/>
        </w:rPr>
      </w:pPr>
      <w:r>
        <w:rPr>
          <w:rFonts w:ascii="Times New Roman" w:hAnsi="Times New Roman"/>
          <w:sz w:val="20"/>
        </w:rPr>
        <w:t xml:space="preserve">1.Cash Compensation. </w:t>
      </w:r>
    </w:p>
    <w:p>
      <w:pPr>
        <w:pStyle w:val="TextBody"/>
        <w:bidi w:val="0"/>
        <w:spacing w:before="120" w:after="0"/>
        <w:jc w:val="left"/>
        <w:rPr>
          <w:rFonts w:ascii="Times New Roman" w:hAnsi="Times New Roman"/>
          <w:sz w:val="20"/>
        </w:rPr>
      </w:pPr>
      <w:r>
        <w:rPr>
          <w:rFonts w:ascii="Times New Roman" w:hAnsi="Times New Roman"/>
          <w:sz w:val="20"/>
        </w:rPr>
        <w:t xml:space="preserve">a.Annual Retainers. Each Eligible Director shall be eligible to receive an annual cash retainer of $80,000 for service on the Board. </w:t>
      </w:r>
    </w:p>
    <w:p>
      <w:pPr>
        <w:pStyle w:val="TextBody"/>
        <w:bidi w:val="0"/>
        <w:spacing w:before="120" w:after="0"/>
        <w:jc w:val="left"/>
        <w:rPr>
          <w:rFonts w:ascii="Times New Roman" w:hAnsi="Times New Roman"/>
          <w:sz w:val="20"/>
        </w:rPr>
      </w:pPr>
      <w:r>
        <w:rPr>
          <w:rFonts w:ascii="Times New Roman" w:hAnsi="Times New Roman"/>
          <w:sz w:val="20"/>
        </w:rPr>
        <w:t xml:space="preserve">b.Additional Annual Retainers. An Eligible Director shall be eligible to receive the following additional annual retainers,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(i)Chairperson. An Eligible Director serving as the Chairperson of the Board (other than an Executive Chairperson) shall be eligible to receive an additional annual retainer of $40,000 for such service. </w:t>
      </w:r>
    </w:p>
    <w:p>
      <w:pPr>
        <w:pStyle w:val="TextBody"/>
        <w:bidi w:val="0"/>
        <w:spacing w:before="120" w:after="0"/>
        <w:jc w:val="left"/>
        <w:rPr>
          <w:rFonts w:ascii="Times New Roman" w:hAnsi="Times New Roman"/>
          <w:sz w:val="20"/>
        </w:rPr>
      </w:pPr>
      <w:r>
        <w:rPr>
          <w:rFonts w:ascii="Times New Roman" w:hAnsi="Times New Roman"/>
          <w:sz w:val="20"/>
        </w:rPr>
        <w:t xml:space="preserve">(ii)Lead Independent Director. An Eligible Director serving as the Lead Independent Director of the Board shall be eligible to receive an additional annual retainer of $40,000 for such service. </w:t>
      </w:r>
    </w:p>
    <w:p>
      <w:pPr>
        <w:pStyle w:val="TextBody"/>
        <w:bidi w:val="0"/>
        <w:spacing w:before="120" w:after="0"/>
        <w:jc w:val="left"/>
        <w:rPr>
          <w:rFonts w:ascii="Times New Roman" w:hAnsi="Times New Roman"/>
          <w:sz w:val="20"/>
        </w:rPr>
      </w:pPr>
      <w:r>
        <w:rPr>
          <w:rFonts w:ascii="Times New Roman" w:hAnsi="Times New Roman"/>
          <w:sz w:val="20"/>
        </w:rPr>
        <w:t xml:space="preserve">(iii)Audit Committee. An Eligible Director serving as Chairperson of the Audit Committee shall be eligible to receive an additional annual retainer of $24,000 for such service. An Eligible Director serving as a member of the Audit Committee (other than the Chairperson) shall be eligible to receive an additional annual retainer of $16,000 for such service. </w:t>
      </w:r>
    </w:p>
    <w:p>
      <w:pPr>
        <w:pStyle w:val="TextBody"/>
        <w:bidi w:val="0"/>
        <w:spacing w:before="120" w:after="0"/>
        <w:jc w:val="left"/>
        <w:rPr>
          <w:rFonts w:ascii="Times New Roman" w:hAnsi="Times New Roman"/>
          <w:sz w:val="20"/>
        </w:rPr>
      </w:pPr>
      <w:r>
        <w:rPr>
          <w:rFonts w:ascii="Times New Roman" w:hAnsi="Times New Roman"/>
          <w:sz w:val="20"/>
        </w:rPr>
        <w:t xml:space="preserve">(iv)Compensation Committee. An Eligible Director serving as Chairperson of the Compensation Committee shall be eligible to receive an additional annual retainer of $20,000 for such service. An Eligible Director serving as a member of the Compensation Committee (other than the Chairperson) shall be eligible to receive an additional annual retainer of $14,000 for such service.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c.Payment of Retainers.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2.Equity Compensation. </w:t>
      </w:r>
    </w:p>
    <w:p>
      <w:pPr>
        <w:pStyle w:val="TextBody"/>
        <w:bidi w:val="0"/>
        <w:spacing w:before="120" w:after="0"/>
        <w:jc w:val="left"/>
        <w:rPr>
          <w:rFonts w:ascii="Times New Roman" w:hAnsi="Times New Roman"/>
          <w:sz w:val="20"/>
        </w:rPr>
      </w:pPr>
      <w:r>
        <w:rPr>
          <w:rFonts w:ascii="Times New Roman" w:hAnsi="Times New Roman"/>
          <w:sz w:val="20"/>
        </w:rPr>
        <w:t>a.General. Eligible Directors shall be granted the Initial Awards and Annual Awards described below (collectively, </w:t>
      </w:r>
      <w:r>
        <w:rPr>
          <w:rFonts w:ascii="Times New Roman" w:hAnsi="Times New Roman"/>
          <w:b/>
          <w:i/>
          <w:sz w:val="20"/>
        </w:rPr>
        <w:t>Director Awards</w:t>
      </w:r>
      <w:r>
        <w:rPr>
          <w:rFonts w:ascii="Times New Roman" w:hAnsi="Times New Roman"/>
          <w:sz w:val="20"/>
        </w:rPr>
        <w:t>). The Director Awards described below shall be granted under and shall be subject to the terms and provisions of the Companys 2025 Incentive Award Plan (the </w:t>
      </w:r>
      <w:r>
        <w:rPr>
          <w:rFonts w:ascii="Times New Roman" w:hAnsi="Times New Roman"/>
          <w:b/>
          <w:i/>
          <w:sz w:val="20"/>
        </w:rPr>
        <w:t>2025 Plan</w:t>
      </w:r>
      <w:r>
        <w:rPr>
          <w:rFonts w:ascii="Times New Roman" w:hAnsi="Times New Roman"/>
          <w:sz w:val="20"/>
        </w:rPr>
        <w:t>), or any other applicable Company equity incentive plan then-maintained by the Company (the 2025 Plan or such other plan, in any case, as may be amended from time to time, the </w:t>
      </w:r>
      <w:r>
        <w:rPr>
          <w:rFonts w:ascii="Times New Roman" w:hAnsi="Times New Roman"/>
          <w:b/>
          <w:i/>
          <w:sz w:val="20"/>
        </w:rPr>
        <w:t>Equity Plan</w:t>
      </w:r>
      <w:r>
        <w:rPr>
          <w:rFonts w:ascii="Times New Roman" w:hAnsi="Times New Roman"/>
          <w:sz w:val="20"/>
        </w:rPr>
        <w:t xml:space="preserve">) and may be granted subject to the execution and delivery of award agreements, including any exhibits thereto, in substantially the forms approved by the Board prior to or in connection with such grants. All applicable terms of the Equity Plan apply to this Program as if fully set forth herein, and all grants of Director Awards hereby are subject in all respects to the terms of the Equity Plan. </w:t>
      </w:r>
    </w:p>
    <w:p>
      <w:pPr>
        <w:pStyle w:val="TextBody"/>
        <w:bidi w:val="0"/>
        <w:spacing w:before="120" w:after="0"/>
        <w:jc w:val="left"/>
        <w:rPr>
          <w:rFonts w:ascii="Times New Roman" w:hAnsi="Times New Roman"/>
          <w:sz w:val="20"/>
        </w:rPr>
      </w:pPr>
      <w:r>
        <w:rPr>
          <w:rFonts w:ascii="Times New Roman" w:hAnsi="Times New Roman"/>
          <w:sz w:val="20"/>
        </w:rPr>
        <w:t>b.Initial Awards. Each Eligible Director who is initially elected or appointed to serve on the Board after the Effective Date shall be granted an award (an </w:t>
      </w:r>
      <w:r>
        <w:rPr>
          <w:rFonts w:ascii="Times New Roman" w:hAnsi="Times New Roman"/>
          <w:b/>
          <w:i/>
          <w:sz w:val="20"/>
        </w:rPr>
        <w:t>Initial Award</w:t>
      </w:r>
      <w:r>
        <w:rPr>
          <w:rFonts w:ascii="Times New Roman" w:hAnsi="Times New Roman"/>
          <w:sz w:val="20"/>
        </w:rPr>
        <w:t>) in the form of restricted stock units (</w:t>
      </w:r>
      <w:r>
        <w:rPr>
          <w:rFonts w:ascii="Times New Roman" w:hAnsi="Times New Roman"/>
          <w:b/>
          <w:i/>
          <w:sz w:val="20"/>
        </w:rPr>
        <w:t>RSUs</w:t>
      </w:r>
      <w:r>
        <w:rPr>
          <w:rFonts w:ascii="Times New Roman" w:hAnsi="Times New Roman"/>
          <w:sz w:val="20"/>
        </w:rPr>
        <w:t xml:space="preserve">), with the number of RSUs subject to each Initial Award determined by dividing (i) $600,000 by (ii) the average closing trading price of the Companys common stock over the 20 consecutive trading days ending with the trading day immediately preceding the applicable grant date, rounded down to the nearest whole RSU. Each Initial Award shall be automatically granted on the date on which such Eligible Director is appointed or elected to serve on the Board and shall vest with respect to one-third of the RSUs subject thereto on each of the first three (3) anniversaries of the applicable grant date, subject to the Eligible Directors continued service on the Board through the applicable vesting date. </w:t>
      </w:r>
    </w:p>
    <w:p>
      <w:pPr>
        <w:pStyle w:val="TextBody"/>
        <w:bidi w:val="0"/>
        <w:spacing w:before="120" w:after="0"/>
        <w:jc w:val="left"/>
        <w:rPr>
          <w:rFonts w:ascii="Times New Roman" w:hAnsi="Times New Roman"/>
          <w:sz w:val="20"/>
        </w:rPr>
      </w:pPr>
      <w:r>
        <w:rPr>
          <w:rFonts w:ascii="Times New Roman" w:hAnsi="Times New Roman"/>
          <w:sz w:val="20"/>
        </w:rPr>
        <w:t>c.Annual Awards. Each Eligible Director who (i) is serving on the Board as of the date of any annual meeting of the Companys stockholders (the </w:t>
      </w:r>
      <w:r>
        <w:rPr>
          <w:rFonts w:ascii="Times New Roman" w:hAnsi="Times New Roman"/>
          <w:b/>
          <w:i/>
          <w:sz w:val="20"/>
        </w:rPr>
        <w:t>Annual Meeting</w:t>
      </w:r>
      <w:r>
        <w:rPr>
          <w:rFonts w:ascii="Times New Roman" w:hAnsi="Times New Roman"/>
          <w:sz w:val="20"/>
        </w:rPr>
        <w:t>) after the Effective Date and (ii) will continue to serve on the Board immediately following such Annual Meeting, shall be automatically be granted an award (an </w:t>
      </w:r>
      <w:r>
        <w:rPr>
          <w:rFonts w:ascii="Times New Roman" w:hAnsi="Times New Roman"/>
          <w:b/>
          <w:i/>
          <w:sz w:val="20"/>
        </w:rPr>
        <w:t>Annual Award</w:t>
      </w:r>
      <w:r>
        <w:rPr>
          <w:rFonts w:ascii="Times New Roman" w:hAnsi="Times New Roman"/>
          <w:sz w:val="20"/>
        </w:rPr>
        <w:t xml:space="preserve">) in the form of RSUs, with the number of RSUs subject to each Annual Award determined by dividing (i) $200,000 by (ii) the average closing trading price of the Companys common stock over the 20 consecutive trading days ending with the trading day immediately preceding the applicable grant date, rounded down to the nearest whole RSU. Each Annual Award shall be automatically granted on the date of such Annual Meeting and shall vest in full on the earlier to occur of (x) the one-year anniversary of the applicable grant date and (y) the date of the next Annual Meeting following the grant date, subject to the Eligible Directors continued service on the Board through the applicable vesting date. </w:t>
      </w:r>
    </w:p>
    <w:p>
      <w:pPr>
        <w:pStyle w:val="TextBody"/>
        <w:bidi w:val="0"/>
        <w:spacing w:before="120" w:after="0"/>
        <w:jc w:val="left"/>
        <w:rPr>
          <w:rFonts w:ascii="Times New Roman" w:hAnsi="Times New Roman"/>
          <w:sz w:val="20"/>
        </w:rPr>
      </w:pPr>
      <w:r>
        <w:rPr>
          <w:rFonts w:ascii="Times New Roman" w:hAnsi="Times New Roman"/>
          <w:sz w:val="20"/>
        </w:rPr>
        <w:t xml:space="preserve">d.Termination of Employment of Employee Directors. Members of the Board who are employees of the Company or any subsidiary of the Company who subsequently terminate their employment and remain on the Board will not receive Initial Awards or Pro-Rated Annual Awards, but to the extent that they otherwise become entitled to compensation under this Program after such employment terminates, will be eligible to receive, after termination of employment with the Company and any subsidiary of the Company, Annual Awards.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e.Accelerated Vesting. Notwithstanding anything herein to the contrary, an Eligible Directors Director Award(s) shall vest in full immediately prior to the occurrence of a Change in Control (as defined in the 2025 Plan, or any similar or like term as defined in the then-applicable Equity Plan), subject to the Eligible Directors continued service on the Board until immediately prior to such Change in Control, to the extent outstanding at such time, if the Eligible Director will not become, as of immediately following such Change in Control, a member of the Board or the board of directors of the successor to the Company (or any parent thereof). </w:t>
      </w:r>
    </w:p>
    <w:p>
      <w:pPr>
        <w:pStyle w:val="TextBody"/>
        <w:bidi w:val="0"/>
        <w:spacing w:before="120" w:after="0"/>
        <w:jc w:val="left"/>
        <w:rPr>
          <w:rFonts w:ascii="Times New Roman" w:hAnsi="Times New Roman"/>
          <w:sz w:val="20"/>
        </w:rPr>
      </w:pPr>
      <w:r>
        <w:rPr>
          <w:rFonts w:ascii="Times New Roman" w:hAnsi="Times New Roman"/>
          <w:sz w:val="20"/>
        </w:rPr>
        <w:t xml:space="preserve">f.Registration Statement. Notwithstanding anything to the contrary in this Program, if, as of the date on which any Director Award is scheduled to be automatically granted pursuant to this Program, the Company has not yet filed with the Securities and Exchange Commission a Form S-8 Registration Statement covering the shares of Company common stock subject to the Director Award, the Director Award shall instead be automatically granted upon the effectiveness of such Form S-8 Registration Statement (subject to the Eligible Directors continued service on the Board through the date of such effectiveness). </w:t>
      </w:r>
    </w:p>
    <w:p>
      <w:pPr>
        <w:pStyle w:val="TextBody"/>
        <w:bidi w:val="0"/>
        <w:spacing w:before="240" w:after="0"/>
        <w:jc w:val="left"/>
        <w:rPr>
          <w:rFonts w:ascii="Times New Roman" w:hAnsi="Times New Roman"/>
          <w:sz w:val="20"/>
        </w:rPr>
      </w:pPr>
      <w:r>
        <w:rPr>
          <w:rFonts w:ascii="Times New Roman" w:hAnsi="Times New Roman"/>
          <w:sz w:val="20"/>
        </w:rPr>
        <w:t xml:space="preserve">3.Compensation Limits. Notwithstanding anything to the contrary in this Program, all compensation payable under this Program will be subject to any limits on the maximum amount of non-employee director compensation set forth in the Equity Plan, as in effect from time to time. </w:t>
      </w:r>
    </w:p>
    <w:p>
      <w:pPr>
        <w:pStyle w:val="TextBody"/>
        <w:bidi w:val="0"/>
        <w:spacing w:before="24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3" w:name="t311"/>
      <w:bookmarkEnd w:id="23"/>
      <w:r>
        <w:rPr>
          <w:rFonts w:ascii="Times New Roman" w:hAnsi="Times New Roman"/>
          <w:b/>
          <w:sz w:val="20"/>
        </w:rPr>
        <w:t xml:space="preserve">Exhibit 31.1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PRINCIPAL EXECUTIVE OFFICER UNDER SECTION 302 OF </w:t>
      </w:r>
    </w:p>
    <w:p>
      <w:pPr>
        <w:pStyle w:val="TextBody"/>
        <w:bidi w:val="0"/>
        <w:spacing w:before="0" w:after="0"/>
        <w:jc w:val="center"/>
        <w:rPr>
          <w:rFonts w:ascii="Times New Roman" w:hAnsi="Times New Roman"/>
          <w:b/>
          <w:sz w:val="20"/>
        </w:rPr>
      </w:pPr>
      <w:r>
        <w:rPr>
          <w:rFonts w:ascii="Times New Roman" w:hAnsi="Times New Roman"/>
          <w:b/>
          <w:sz w:val="20"/>
        </w:rPr>
        <w:t xml:space="preserve">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Dinakar Munagala, certify that: </w:t>
      </w:r>
    </w:p>
    <w:p>
      <w:pPr>
        <w:pStyle w:val="TextBody"/>
        <w:bidi w:val="0"/>
        <w:spacing w:before="120" w:after="0"/>
        <w:jc w:val="left"/>
        <w:rPr>
          <w:rFonts w:ascii="Times New Roman" w:hAnsi="Times New Roman"/>
          <w:sz w:val="20"/>
        </w:rPr>
      </w:pPr>
      <w:r>
        <w:rPr>
          <w:rFonts w:ascii="Times New Roman" w:hAnsi="Times New Roman"/>
          <w:sz w:val="20"/>
        </w:rPr>
        <w:t xml:space="preserve">1.I have reviewed this Quarterly Report on Form 10-Q of Blaize Holdings, Inc.;2.Based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report;3.Based on my knowledge, the financial statements, and other financial information included in this report, fairly present in all material respects the financial condition, results of operations and cash flows of the registrant as of, and for, the periods presented in this report;4.The registrants other certifying officer and I are responsible for establishing and maintaining disclosure controls and procedures (as defined in Exchange Act Rules 13a-15(e) and 15d-15(e)) for the registrant and have:a.Designed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prepared;b.Omittedc.Evaluated the effectiveness of the registrants disclosure controls and procedures and presented in this report our conclusions about the effectiveness of the disclosure controls and procedures, as of the end of the period covered by this report based on such evaluation; andd.Disclosed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reporting.(b)The registrants other certifying officer and I have disclosed, based on our most recent evaluation of internal control over financial reporting, to the registrants auditors and the audit committee of the registrants board of directors (or persons performing the equivalent functions):a.All significant deficiencies and material weaknesses in the design or operation of internal control over financial reporting which are reasonably likely to adversely affect the registrants ability to record, process, summarize and report financial information; andb.Any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7"/>
        <w:gridCol w:w="103"/>
        <w:gridCol w:w="405"/>
        <w:gridCol w:w="103"/>
        <w:gridCol w:w="315"/>
        <w:gridCol w:w="103"/>
        <w:gridCol w:w="4599"/>
      </w:tblGrid>
      <w:tr>
        <w:trPr/>
        <w:tc>
          <w:tcPr>
            <w:tcW w:w="457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77" w:type="dxa"/>
            <w:tcBorders/>
          </w:tcPr>
          <w:p>
            <w:pPr>
              <w:pStyle w:val="TableContents"/>
              <w:bidi w:val="0"/>
              <w:spacing w:before="0" w:after="283"/>
              <w:jc w:val="left"/>
              <w:rPr/>
            </w:pPr>
            <w:r>
              <w:rPr/>
              <w:t>Date: May 14, 2025</w:t>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Dinakar Munagala</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Dinakar Munagala</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4" w:name="t312"/>
      <w:bookmarkEnd w:id="24"/>
      <w:r>
        <w:rPr>
          <w:rFonts w:ascii="Times New Roman" w:hAnsi="Times New Roman"/>
          <w:b/>
          <w:sz w:val="20"/>
        </w:rPr>
        <w:t xml:space="preserve">Exhibit 31.2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PRINCIPAL FINANCIAL OFFICER UNDER SECTION 302 OF </w:t>
      </w:r>
    </w:p>
    <w:p>
      <w:pPr>
        <w:pStyle w:val="TextBody"/>
        <w:bidi w:val="0"/>
        <w:spacing w:before="0" w:after="0"/>
        <w:jc w:val="center"/>
        <w:rPr>
          <w:rFonts w:ascii="Times New Roman" w:hAnsi="Times New Roman"/>
          <w:b/>
          <w:sz w:val="20"/>
        </w:rPr>
      </w:pPr>
      <w:r>
        <w:rPr>
          <w:rFonts w:ascii="Times New Roman" w:hAnsi="Times New Roman"/>
          <w:b/>
          <w:sz w:val="20"/>
        </w:rPr>
        <w:t xml:space="preserve">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Harminder Sehmi, certify that: </w:t>
      </w:r>
    </w:p>
    <w:p>
      <w:pPr>
        <w:pStyle w:val="TextBody"/>
        <w:bidi w:val="0"/>
        <w:spacing w:before="120" w:after="0"/>
        <w:jc w:val="left"/>
        <w:rPr>
          <w:rFonts w:ascii="Times New Roman" w:hAnsi="Times New Roman"/>
          <w:sz w:val="20"/>
        </w:rPr>
      </w:pPr>
      <w:r>
        <w:rPr>
          <w:rFonts w:ascii="Times New Roman" w:hAnsi="Times New Roman"/>
          <w:sz w:val="20"/>
        </w:rPr>
        <w:t xml:space="preserve">1.I have reviewed this Quarterly Report on Form 10-Q of Blaize Holdings, Inc.;2.Based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report;3.Based on my knowledge, the financial statements, and other financial information included in this report, fairly present in all material respects the financial condition, results of operations and cash flows of the registrant as of, and for, the periods presented in this report;4.The registrants other certifying officer and I are responsible for establishing and maintaining disclosure controls and procedures (as defined in Exchange Act Rules 13a-15(e) for the registrant and have:a.Designed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prepared;b.Omittedc.Evaluated the effectiveness of the registrants disclosure controls and procedures and presented in this report our conclusions about the effectiveness of the disclosure controls and procedures, as of the end of the period covered by this report based on such evaluation; andd.Disclosed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functions):a.All significant deficiencies and material weaknesses in the design or operation of internal control over financial reporting which are reasonably likely to adversely affect the registrants ability to record, process, summarize and report financial information; andb.Any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4"/>
        <w:gridCol w:w="102"/>
        <w:gridCol w:w="406"/>
        <w:gridCol w:w="102"/>
        <w:gridCol w:w="310"/>
        <w:gridCol w:w="102"/>
        <w:gridCol w:w="4599"/>
      </w:tblGrid>
      <w:tr>
        <w:trPr/>
        <w:tc>
          <w:tcPr>
            <w:tcW w:w="45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84" w:type="dxa"/>
            <w:tcBorders/>
          </w:tcPr>
          <w:p>
            <w:pPr>
              <w:pStyle w:val="TableContents"/>
              <w:bidi w:val="0"/>
              <w:spacing w:before="0" w:after="283"/>
              <w:jc w:val="left"/>
              <w:rPr/>
            </w:pPr>
            <w:r>
              <w:rPr/>
              <w:t>Date: May 14, 2025</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Harminder Sehmi</w:t>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Harminder Sehmi</w:t>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5" w:name="t321"/>
      <w:bookmarkEnd w:id="25"/>
      <w:r>
        <w:rPr>
          <w:rFonts w:ascii="Times New Roman" w:hAnsi="Times New Roman"/>
          <w:b/>
          <w:sz w:val="20"/>
        </w:rPr>
        <w:t xml:space="preserve">Exhibit 32.1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Dinakar Munagala, certify pursuant to 18 U.S.C. Section 1350, as adopted pursuant to Section 906 of the Sarbanes-Oxley Act of 2002, that: </w:t>
      </w:r>
    </w:p>
    <w:p>
      <w:pPr>
        <w:pStyle w:val="TextBody"/>
        <w:bidi w:val="0"/>
        <w:spacing w:before="120" w:after="0"/>
        <w:jc w:val="left"/>
        <w:rPr>
          <w:rFonts w:ascii="Times New Roman" w:hAnsi="Times New Roman"/>
          <w:sz w:val="20"/>
        </w:rPr>
      </w:pPr>
      <w:r>
        <w:rPr>
          <w:rFonts w:ascii="Times New Roman" w:hAnsi="Times New Roman"/>
          <w:sz w:val="20"/>
        </w:rPr>
        <w:t xml:space="preserve">(1)the Quarterly Report of Blaize Holdings, Inc. on Form 10-Q for the fiscal quarter ended March 31, 2025 (the Quarterly Report) fully complies with the requirements of Section 13(a) or 15(d) of the Securities Exchange Act of 1934; and(2)the information contained in the Quarterly Report fairly presents, in all material respects, the financial condition and results of operations of Blaize Holdings, Inc. for the periods presented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7"/>
        <w:gridCol w:w="103"/>
        <w:gridCol w:w="405"/>
        <w:gridCol w:w="103"/>
        <w:gridCol w:w="315"/>
        <w:gridCol w:w="103"/>
        <w:gridCol w:w="4599"/>
      </w:tblGrid>
      <w:tr>
        <w:trPr/>
        <w:tc>
          <w:tcPr>
            <w:tcW w:w="457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77" w:type="dxa"/>
            <w:tcBorders/>
          </w:tcPr>
          <w:p>
            <w:pPr>
              <w:pStyle w:val="TableContents"/>
              <w:bidi w:val="0"/>
              <w:spacing w:before="0" w:after="283"/>
              <w:jc w:val="left"/>
              <w:rPr/>
            </w:pPr>
            <w:r>
              <w:rPr/>
              <w:t>Date: May 14, 2025</w:t>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Dinakar Munagala</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Dinakar Munagala</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Chief Executive Officer</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(Principal Executive Officer)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6" w:name="t322"/>
      <w:bookmarkEnd w:id="26"/>
      <w:r>
        <w:rPr>
          <w:rFonts w:ascii="Times New Roman" w:hAnsi="Times New Roman"/>
          <w:b/>
          <w:sz w:val="20"/>
        </w:rPr>
        <w:t xml:space="preserve">Exhibit 32.2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Harminder Sehmi, certify pursuant to 18 U.S.C. Section 1350, as adopted pursuant to Section 906 of the Sarbanes-Oxley Act of 2002, that: </w:t>
      </w:r>
    </w:p>
    <w:p>
      <w:pPr>
        <w:pStyle w:val="TextBody"/>
        <w:bidi w:val="0"/>
        <w:spacing w:before="120" w:after="0"/>
        <w:jc w:val="left"/>
        <w:rPr>
          <w:rFonts w:ascii="Times New Roman" w:hAnsi="Times New Roman"/>
          <w:sz w:val="20"/>
        </w:rPr>
      </w:pPr>
      <w:r>
        <w:rPr>
          <w:rFonts w:ascii="Times New Roman" w:hAnsi="Times New Roman"/>
          <w:sz w:val="20"/>
        </w:rPr>
        <w:t xml:space="preserve">(1)the Quarterly Report of Blaize Holdings, Inc. on Form 10-Q for the fiscal quarter ended March 31, 2025 (the Quarterly Report) fully complies with the requirements of Section 13(a) or 15(d) of the Securities Exchange Act of 1934; and(2)the information contained in the Quarterly Report fairly presents, in all material respects, the financial condition and results of operations of Blaize Holdings, Inc. for the periods presented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5"/>
        <w:gridCol w:w="102"/>
        <w:gridCol w:w="406"/>
        <w:gridCol w:w="102"/>
        <w:gridCol w:w="308"/>
        <w:gridCol w:w="102"/>
        <w:gridCol w:w="4600"/>
      </w:tblGrid>
      <w:tr>
        <w:trPr/>
        <w:tc>
          <w:tcPr>
            <w:tcW w:w="458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00" w:type="dxa"/>
            <w:tcBorders/>
            <w:vAlign w:val="center"/>
          </w:tcPr>
          <w:p>
            <w:pPr>
              <w:pStyle w:val="TableContents"/>
              <w:bidi w:val="0"/>
              <w:spacing w:before="0" w:after="283"/>
              <w:jc w:val="left"/>
              <w:rPr>
                <w:sz w:val="4"/>
                <w:szCs w:val="4"/>
              </w:rPr>
            </w:pPr>
            <w:r>
              <w:rPr>
                <w:sz w:val="4"/>
                <w:szCs w:val="4"/>
              </w:rPr>
            </w:r>
          </w:p>
        </w:tc>
      </w:tr>
      <w:tr>
        <w:trPr/>
        <w:tc>
          <w:tcPr>
            <w:tcW w:w="4585" w:type="dxa"/>
            <w:tcBorders/>
          </w:tcPr>
          <w:p>
            <w:pPr>
              <w:pStyle w:val="TableContents"/>
              <w:bidi w:val="0"/>
              <w:spacing w:before="0" w:after="283"/>
              <w:jc w:val="left"/>
              <w:rPr/>
            </w:pPr>
            <w:r>
              <w:rPr/>
              <w:t>Date: May 14, 2025</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600"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Harminder Sehmi</w:t>
            </w:r>
          </w:p>
        </w:tc>
      </w:tr>
      <w:tr>
        <w:trPr/>
        <w:tc>
          <w:tcPr>
            <w:tcW w:w="458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Harminder Sehmi</w:t>
            </w:r>
          </w:p>
        </w:tc>
      </w:tr>
      <w:tr>
        <w:trPr/>
        <w:tc>
          <w:tcPr>
            <w:tcW w:w="458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Chief Financial Officer</w:t>
            </w:r>
          </w:p>
        </w:tc>
      </w:tr>
      <w:tr>
        <w:trPr/>
        <w:tc>
          <w:tcPr>
            <w:tcW w:w="458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(Principal Financial and Accounting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71638/000119312525008517/d903961dex31.htm" TargetMode="External"/><Relationship Id="rId4" Type="http://schemas.openxmlformats.org/officeDocument/2006/relationships/hyperlink" Target="http://www.sec.gov/Archives/edgar/data/1871638/000119312525008517/d903961dex32.htm" TargetMode="External"/><Relationship Id="rId5" Type="http://schemas.openxmlformats.org/officeDocument/2006/relationships/hyperlink" Target="http://www.sec.gov/Archives/edgar/data/1871638/000119312525008517/d903961dex1011.htm" TargetMode="External"/><Relationship Id="rId6" Type="http://schemas.openxmlformats.org/officeDocument/2006/relationships/hyperlink" Target="http://www.sec.gov/Archives/edgar/data/1871638/000119312525008517/d903961dex101.htm" TargetMode="External"/><Relationship Id="rId7" Type="http://schemas.openxmlformats.org/officeDocument/2006/relationships/hyperlink" Target="http://www.sec.gov/Archives/edgar/data/1871638/000119312525008517/d903961dex103.htm" TargetMode="External"/><Relationship Id="rId8" Type="http://schemas.openxmlformats.org/officeDocument/2006/relationships/hyperlink" Target="http://www.sec.gov/Archives/edgar/data/1871638/000110465925001763/tm252173d1_ex10-1.htm" TargetMode="External"/><Relationship Id="rId9" Type="http://schemas.openxmlformats.org/officeDocument/2006/relationships/hyperlink" Target="http://www.sec.gov/Archives/edgar/data/1871638/000119312525008517/d903961dex1012.htm" TargetMode="External"/><Relationship Id="rId10" Type="http://schemas.openxmlformats.org/officeDocument/2006/relationships/hyperlink" Target="http://www.sec.gov/Archives/edgar/data/1871638/000119312525008517/d903961dex1013.htm" TargetMode="External"/><Relationship Id="rId11" Type="http://schemas.openxmlformats.org/officeDocument/2006/relationships/hyperlink" Target="http://www.sec.gov/Archives/edgar/data/1871638/000119312525008517/d903961dex1014.htm" TargetMode="External"/><Relationship Id="rId12" Type="http://schemas.openxmlformats.org/officeDocument/2006/relationships/hyperlink" Target="http://www.sec.gov/Archives/edgar/data/1871638/000119312525008517/d903961dex1015.htm" TargetMode="External"/><Relationship Id="rId13" Type="http://schemas.openxmlformats.org/officeDocument/2006/relationships/hyperlink" Target="http://www.sec.gov/Archives/edgar/data/1871638/000119312525008517/d903961dex1022.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30782</Words>
  <Characters>163430</Characters>
  <CharactersWithSpaces>196736</CharactersWithSpaces>
  <Paragraphs>6609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