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Times New Roman" w:cs="Times New Roman" w:eastAsia="Times New Roman" w:hAnsi="Times New Roman"/>
          <w:sz w:val="25"/>
          <w:szCs w:val="25"/>
          <w:b w:val="1"/>
          <w:bCs w:val="1"/>
          <w:color w:val="auto"/>
        </w:rPr>
        <w:drawing>
          <wp:anchor simplePos="0" relativeHeight="251657728" behindDoc="1" locked="0" layoutInCell="0" allowOverlap="1">
            <wp:simplePos x="0" y="0"/>
            <wp:positionH relativeFrom="page">
              <wp:posOffset>208280</wp:posOffset>
            </wp:positionH>
            <wp:positionV relativeFrom="page">
              <wp:posOffset>311785</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346075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44"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5"/>
          <w:szCs w:val="25"/>
          <w:b w:val="1"/>
          <w:bCs w:val="1"/>
          <w:color w:val="auto"/>
        </w:rPr>
        <w:t>SECURITIES AND EXCHANGE COMMISSION</w:t>
      </w:r>
    </w:p>
    <w:p>
      <w:pPr>
        <w:spacing w:after="0" w:line="6"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SCHEDULE 14A</w:t>
      </w:r>
    </w:p>
    <w:p>
      <w:pPr>
        <w:spacing w:after="0" w:line="3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(Rule 14a-101)</w:t>
      </w:r>
    </w:p>
    <w:p>
      <w:pPr>
        <w:spacing w:after="0" w:line="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INFORMATION REQUIRED IN PROXY STATEMENT</w:t>
      </w:r>
    </w:p>
    <w:p>
      <w:pPr>
        <w:spacing w:after="0" w:line="20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SCHEDULE 14A INFORMATION</w:t>
      </w:r>
    </w:p>
    <w:p>
      <w:pPr>
        <w:spacing w:after="0" w:line="22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Proxy Statement Pursuant to Section 14(a)</w:t>
      </w:r>
    </w:p>
    <w:p>
      <w:pPr>
        <w:spacing w:after="0" w:line="3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of the Securities Exchange Act of 1934</w:t>
      </w:r>
    </w:p>
    <w:p>
      <w:pPr>
        <w:spacing w:after="0" w:line="178"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Filed by the Registrant </w:t>
      </w:r>
      <w:r>
        <w:rPr>
          <w:rFonts w:ascii="MS PGothic" w:cs="MS PGothic" w:eastAsia="MS PGothic" w:hAnsi="MS PGothic"/>
          <w:sz w:val="18"/>
          <w:szCs w:val="18"/>
          <w:color w:val="auto"/>
        </w:rPr>
        <w:t>☒</w:t>
      </w:r>
    </w:p>
    <w:p>
      <w:pPr>
        <w:spacing w:after="0" w:line="225"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Filed by a Party other than the Registrant </w:t>
      </w:r>
      <w:r>
        <w:rPr>
          <w:rFonts w:ascii="MS PGothic" w:cs="MS PGothic" w:eastAsia="MS PGothic" w:hAnsi="MS PGothic"/>
          <w:sz w:val="18"/>
          <w:szCs w:val="18"/>
          <w:color w:val="auto"/>
        </w:rPr>
        <w:t>☐</w:t>
      </w:r>
    </w:p>
    <w:p>
      <w:pPr>
        <w:spacing w:after="0" w:line="254"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Check the appropriate box:</w:t>
      </w:r>
    </w:p>
    <w:p>
      <w:pPr>
        <w:spacing w:after="0" w:line="225" w:lineRule="exact"/>
        <w:rPr>
          <w:sz w:val="24"/>
          <w:szCs w:val="24"/>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Preliminary Proxy Statement</w:t>
      </w:r>
    </w:p>
    <w:p>
      <w:pPr>
        <w:spacing w:after="0" w:line="225" w:lineRule="exact"/>
        <w:rPr>
          <w:sz w:val="24"/>
          <w:szCs w:val="24"/>
          <w:color w:val="auto"/>
        </w:rPr>
      </w:pPr>
    </w:p>
    <w:p>
      <w:pPr>
        <w:ind w:left="340" w:hanging="332"/>
        <w:spacing w:after="0"/>
        <w:tabs>
          <w:tab w:leader="none" w:pos="340"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Confidential, for the use of the Commission only (as permitted by Rule 14a-6(e)(2))</w:t>
      </w:r>
    </w:p>
    <w:p>
      <w:pPr>
        <w:spacing w:after="0" w:line="225" w:lineRule="exact"/>
        <w:rPr>
          <w:rFonts w:ascii="MS PGothic" w:cs="MS PGothic" w:eastAsia="MS PGothic" w:hAnsi="MS PGothic"/>
          <w:sz w:val="18"/>
          <w:szCs w:val="18"/>
          <w:color w:val="auto"/>
        </w:rPr>
      </w:pPr>
    </w:p>
    <w:p>
      <w:pPr>
        <w:ind w:left="340" w:hanging="332"/>
        <w:spacing w:after="0"/>
        <w:tabs>
          <w:tab w:leader="none" w:pos="340"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Definitive Proxy Statement</w:t>
      </w:r>
    </w:p>
    <w:p>
      <w:pPr>
        <w:spacing w:after="0" w:line="225" w:lineRule="exact"/>
        <w:rPr>
          <w:rFonts w:ascii="MS PGothic" w:cs="MS PGothic" w:eastAsia="MS PGothic" w:hAnsi="MS PGothic"/>
          <w:sz w:val="18"/>
          <w:szCs w:val="18"/>
          <w:color w:val="auto"/>
        </w:rPr>
      </w:pPr>
    </w:p>
    <w:p>
      <w:pPr>
        <w:ind w:left="340" w:hanging="332"/>
        <w:spacing w:after="0"/>
        <w:tabs>
          <w:tab w:leader="none" w:pos="340"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Definitive Additional Materials</w:t>
      </w:r>
    </w:p>
    <w:p>
      <w:pPr>
        <w:spacing w:after="0" w:line="225" w:lineRule="exact"/>
        <w:rPr>
          <w:rFonts w:ascii="MS PGothic" w:cs="MS PGothic" w:eastAsia="MS PGothic" w:hAnsi="MS PGothic"/>
          <w:sz w:val="18"/>
          <w:szCs w:val="18"/>
          <w:color w:val="auto"/>
        </w:rPr>
      </w:pPr>
    </w:p>
    <w:p>
      <w:pPr>
        <w:ind w:left="340" w:hanging="332"/>
        <w:spacing w:after="0"/>
        <w:tabs>
          <w:tab w:leader="none" w:pos="340"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§210.14a-12</w:t>
      </w:r>
    </w:p>
    <w:p>
      <w:pPr>
        <w:spacing w:after="0" w:line="192"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43"/>
          <w:szCs w:val="43"/>
          <w:b w:val="1"/>
          <w:bCs w:val="1"/>
          <w:color w:val="auto"/>
        </w:rPr>
        <w:t>BURTECH ACQUISITION CORP.</w:t>
      </w:r>
    </w:p>
    <w:p>
      <w:pPr>
        <w:spacing w:after="0" w:line="58"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(Name of Registrant as Specified in its Charter)</w:t>
      </w:r>
    </w:p>
    <w:p>
      <w:pPr>
        <w:spacing w:after="0" w:line="205" w:lineRule="exact"/>
        <w:rPr>
          <w:sz w:val="24"/>
          <w:szCs w:val="24"/>
          <w:color w:val="auto"/>
        </w:rPr>
      </w:pPr>
    </w:p>
    <w:p>
      <w:pPr>
        <w:ind w:left="2980"/>
        <w:spacing w:after="0"/>
        <w:rPr>
          <w:sz w:val="20"/>
          <w:szCs w:val="20"/>
          <w:color w:val="auto"/>
        </w:rPr>
      </w:pPr>
      <w:r>
        <w:rPr>
          <w:rFonts w:ascii="Times New Roman" w:cs="Times New Roman" w:eastAsia="Times New Roman" w:hAnsi="Times New Roman"/>
          <w:sz w:val="18"/>
          <w:szCs w:val="18"/>
          <w:color w:val="auto"/>
        </w:rPr>
        <w:t>(Name of Person(s) Filing Proxy Statement, if Other Than the Registrant)</w:t>
      </w:r>
    </w:p>
    <w:p>
      <w:pPr>
        <w:spacing w:after="0" w:line="225"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Payment of Filing Fee (Check the appropriate box):</w:t>
      </w:r>
    </w:p>
    <w:p>
      <w:pPr>
        <w:spacing w:after="0" w:line="225" w:lineRule="exact"/>
        <w:rPr>
          <w:sz w:val="24"/>
          <w:szCs w:val="24"/>
          <w:color w:val="auto"/>
        </w:rPr>
      </w:pPr>
    </w:p>
    <w:p>
      <w:pPr>
        <w:ind w:left="340" w:hanging="332"/>
        <w:spacing w:after="0"/>
        <w:tabs>
          <w:tab w:leader="none" w:pos="340" w:val="left"/>
        </w:tabs>
        <w:numPr>
          <w:ilvl w:val="0"/>
          <w:numId w:val="3"/>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No fee required.</w:t>
      </w:r>
    </w:p>
    <w:p>
      <w:pPr>
        <w:spacing w:after="0" w:line="225" w:lineRule="exact"/>
        <w:rPr>
          <w:sz w:val="24"/>
          <w:szCs w:val="24"/>
          <w:color w:val="auto"/>
        </w:rPr>
      </w:pPr>
    </w:p>
    <w:p>
      <w:pPr>
        <w:ind w:left="340" w:hanging="332"/>
        <w:spacing w:after="0"/>
        <w:tabs>
          <w:tab w:leader="none" w:pos="340" w:val="left"/>
        </w:tabs>
        <w:numPr>
          <w:ilvl w:val="0"/>
          <w:numId w:val="4"/>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Fee computed on table below per Exchange Act Rules 14a-6(i)(1) and 0-11.</w:t>
      </w:r>
    </w:p>
    <w:p>
      <w:pPr>
        <w:spacing w:after="0" w:line="225" w:lineRule="exact"/>
        <w:rPr>
          <w:rFonts w:ascii="MS PGothic" w:cs="MS PGothic" w:eastAsia="MS PGothic" w:hAnsi="MS PGothic"/>
          <w:sz w:val="18"/>
          <w:szCs w:val="18"/>
          <w:color w:val="auto"/>
        </w:rPr>
      </w:pPr>
    </w:p>
    <w:p>
      <w:pPr>
        <w:ind w:left="660" w:hanging="328"/>
        <w:spacing w:after="0"/>
        <w:tabs>
          <w:tab w:leader="none" w:pos="660" w:val="left"/>
        </w:tabs>
        <w:numPr>
          <w:ilvl w:val="1"/>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Title of each class of securities to which transaction applies:</w:t>
      </w:r>
    </w:p>
    <w:p>
      <w:pPr>
        <w:spacing w:after="0" w:line="2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1"/>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Aggregate number of securities to which transaction applies:</w:t>
      </w:r>
    </w:p>
    <w:p>
      <w:pPr>
        <w:spacing w:after="0" w:line="9" w:lineRule="exact"/>
        <w:rPr>
          <w:rFonts w:ascii="Times New Roman" w:cs="Times New Roman" w:eastAsia="Times New Roman" w:hAnsi="Times New Roman"/>
          <w:sz w:val="18"/>
          <w:szCs w:val="18"/>
          <w:color w:val="auto"/>
        </w:rPr>
      </w:pPr>
    </w:p>
    <w:p>
      <w:pPr>
        <w:ind w:left="660" w:right="20" w:hanging="328"/>
        <w:spacing w:after="0" w:line="250" w:lineRule="auto"/>
        <w:tabs>
          <w:tab w:leader="none" w:pos="660" w:val="left"/>
        </w:tabs>
        <w:numPr>
          <w:ilvl w:val="1"/>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 unit price or other underlying value of transaction computed pursuant to Exchange Act Rule 0-11 (set forth the amount on which the filing fee is calculated and state how it was determined):</w:t>
      </w:r>
    </w:p>
    <w:p>
      <w:pPr>
        <w:ind w:left="660" w:hanging="328"/>
        <w:spacing w:after="0"/>
        <w:tabs>
          <w:tab w:leader="none" w:pos="660" w:val="left"/>
        </w:tabs>
        <w:numPr>
          <w:ilvl w:val="1"/>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Proposed maximum aggregate value of transaction:</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1"/>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Total fee paid:</w:t>
      </w:r>
    </w:p>
    <w:p>
      <w:pPr>
        <w:spacing w:after="0" w:line="206"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4"/>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Fee paid previously with preliminary materials.</w:t>
      </w:r>
    </w:p>
    <w:p>
      <w:pPr>
        <w:spacing w:after="0" w:line="225" w:lineRule="exact"/>
        <w:rPr>
          <w:rFonts w:ascii="MS PGothic" w:cs="MS PGothic" w:eastAsia="MS PGothic" w:hAnsi="MS PGothic"/>
          <w:sz w:val="18"/>
          <w:szCs w:val="18"/>
          <w:color w:val="auto"/>
        </w:rPr>
      </w:pPr>
    </w:p>
    <w:p>
      <w:pPr>
        <w:ind w:left="340" w:hanging="332"/>
        <w:spacing w:after="0" w:line="282" w:lineRule="auto"/>
        <w:tabs>
          <w:tab w:leader="none" w:pos="340" w:val="left"/>
        </w:tabs>
        <w:numPr>
          <w:ilvl w:val="0"/>
          <w:numId w:val="4"/>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Check box if any part of the fee is offset as provided by Exchange Act Rule 0-1l (a)(2) and identify the filing for which the offsetting fee was paid previously. Identify the previous filing by registration statement number, or the Form or Schedule and the date of its filing.</w:t>
      </w:r>
    </w:p>
    <w:p>
      <w:pPr>
        <w:spacing w:after="0" w:line="161" w:lineRule="exact"/>
        <w:rPr>
          <w:rFonts w:ascii="MS PGothic" w:cs="MS PGothic" w:eastAsia="MS PGothic" w:hAnsi="MS PGothic"/>
          <w:sz w:val="18"/>
          <w:szCs w:val="18"/>
          <w:color w:val="auto"/>
        </w:rPr>
      </w:pPr>
    </w:p>
    <w:p>
      <w:pPr>
        <w:ind w:left="660" w:hanging="328"/>
        <w:spacing w:after="0"/>
        <w:tabs>
          <w:tab w:leader="none" w:pos="660" w:val="left"/>
        </w:tabs>
        <w:numPr>
          <w:ilvl w:val="1"/>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Amount Previously Paid:</w:t>
      </w:r>
    </w:p>
    <w:p>
      <w:pPr>
        <w:spacing w:after="0" w:line="2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1"/>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Form, Schedule or Registration Statement No.:</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1"/>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Filing Party:</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1"/>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Date Filed: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142875</wp:posOffset>
            </wp:positionV>
            <wp:extent cx="71323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168910</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614680</wp:posOffset>
            </wp:positionV>
            <wp:extent cx="713232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745" w:right="339" w:bottom="1440" w:gutter="0" w:footer="0" w:header="0"/>
        </w:sectPr>
      </w:pPr>
    </w:p>
    <w:bookmarkStart w:id="1" w:name="page2"/>
    <w:bookmarkEnd w:id="1"/>
    <w:p>
      <w:pPr>
        <w:jc w:val="center"/>
        <w:spacing w:after="0"/>
        <w:rPr>
          <w:sz w:val="20"/>
          <w:szCs w:val="20"/>
          <w:color w:val="auto"/>
        </w:rPr>
      </w:pPr>
      <w:r>
        <w:rPr>
          <w:rFonts w:ascii="Times New Roman" w:cs="Times New Roman" w:eastAsia="Times New Roman" w:hAnsi="Times New Roman"/>
          <w:sz w:val="18"/>
          <w:szCs w:val="18"/>
          <w:b w:val="1"/>
          <w:bCs w:val="1"/>
          <w:color w:val="auto"/>
        </w:rPr>
        <w:t>BURTECH ACQUISITION CORP.</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1300 Pennsylvania Ave NW, Suite 700</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Washington, DC 20004</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NOTICE OF GENERAL MEETING</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TO BE HELD [●], 2022</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 THE STOCKHOLDERS OF</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BURTECH ACQUISITION CORP.</w:t>
      </w:r>
    </w:p>
    <w:p>
      <w:pPr>
        <w:spacing w:after="0" w:line="203"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18"/>
          <w:szCs w:val="18"/>
          <w:color w:val="auto"/>
        </w:rPr>
        <w:t>On behalf of the Board of Directors of BurTech Acquisition Corp. (the “</w:t>
      </w:r>
      <w:r>
        <w:rPr>
          <w:rFonts w:ascii="Times New Roman" w:cs="Times New Roman" w:eastAsia="Times New Roman" w:hAnsi="Times New Roman"/>
          <w:sz w:val="18"/>
          <w:szCs w:val="18"/>
          <w:b w:val="1"/>
          <w:bCs w:val="1"/>
          <w:u w:val="single" w:color="auto"/>
          <w:color w:val="auto"/>
        </w:rPr>
        <w:t>Company</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u w:val="single" w:color="auto"/>
          <w:color w:val="auto"/>
        </w:rPr>
        <w:t>BurTech</w:t>
      </w:r>
      <w:r>
        <w:rPr>
          <w:rFonts w:ascii="Times New Roman" w:cs="Times New Roman" w:eastAsia="Times New Roman" w:hAnsi="Times New Roman"/>
          <w:sz w:val="18"/>
          <w:szCs w:val="18"/>
          <w:color w:val="auto"/>
        </w:rPr>
        <w:t>” or “</w:t>
      </w:r>
      <w:r>
        <w:rPr>
          <w:rFonts w:ascii="Times New Roman" w:cs="Times New Roman" w:eastAsia="Times New Roman" w:hAnsi="Times New Roman"/>
          <w:sz w:val="18"/>
          <w:szCs w:val="18"/>
          <w:b w:val="1"/>
          <w:bCs w:val="1"/>
          <w:u w:val="single" w:color="auto"/>
          <w:color w:val="auto"/>
        </w:rPr>
        <w:t>we</w:t>
      </w:r>
      <w:r>
        <w:rPr>
          <w:rFonts w:ascii="Times New Roman" w:cs="Times New Roman" w:eastAsia="Times New Roman" w:hAnsi="Times New Roman"/>
          <w:sz w:val="18"/>
          <w:szCs w:val="18"/>
          <w:color w:val="auto"/>
        </w:rPr>
        <w:t>”), I invite you to attend our Special Meeting of Stockholders (the “</w:t>
      </w:r>
      <w:r>
        <w:rPr>
          <w:rFonts w:ascii="Times New Roman" w:cs="Times New Roman" w:eastAsia="Times New Roman" w:hAnsi="Times New Roman"/>
          <w:sz w:val="18"/>
          <w:szCs w:val="18"/>
          <w:b w:val="1"/>
          <w:bCs w:val="1"/>
          <w:u w:val="single" w:color="auto"/>
          <w:color w:val="auto"/>
        </w:rPr>
        <w:t>Special Meeting</w:t>
      </w:r>
      <w:r>
        <w:rPr>
          <w:rFonts w:ascii="Times New Roman" w:cs="Times New Roman" w:eastAsia="Times New Roman" w:hAnsi="Times New Roman"/>
          <w:sz w:val="18"/>
          <w:szCs w:val="18"/>
          <w:color w:val="auto"/>
        </w:rPr>
        <w:t>”). We hope you can join us. The Special Meeting will be held at 10:00 a.m. Eastern Time on [●], 2022. Due to the COVID-19 pandemic, BurTech will be holding the Special Meeting via teleconference using the following dial-in information:</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US Toll Free</w:t>
            </w:r>
          </w:p>
        </w:tc>
        <w:tc>
          <w:tcPr>
            <w:tcW w:w="5080" w:type="dxa"/>
            <w:vAlign w:val="bottom"/>
            <w:shd w:val="clear" w:color="auto" w:fill="CCEEFF"/>
          </w:tcPr>
          <w:p>
            <w:pPr>
              <w:ind w:left="4660"/>
              <w:spacing w:after="0"/>
              <w:rPr>
                <w:sz w:val="20"/>
                <w:szCs w:val="20"/>
                <w:color w:val="auto"/>
              </w:rPr>
            </w:pPr>
            <w:r>
              <w:rPr>
                <w:rFonts w:ascii="Times New Roman" w:cs="Times New Roman" w:eastAsia="Times New Roman" w:hAnsi="Times New Roman"/>
                <w:sz w:val="18"/>
                <w:szCs w:val="18"/>
                <w:color w:val="auto"/>
              </w:rPr>
              <w:t>[ ● ]</w:t>
            </w:r>
          </w:p>
        </w:tc>
      </w:tr>
      <w:tr>
        <w:trPr>
          <w:trHeight w:val="216"/>
        </w:trPr>
        <w:tc>
          <w:tcPr>
            <w:tcW w:w="6160" w:type="dxa"/>
            <w:vAlign w:val="bottom"/>
          </w:tcPr>
          <w:p>
            <w:pPr>
              <w:spacing w:after="0"/>
              <w:rPr>
                <w:sz w:val="20"/>
                <w:szCs w:val="20"/>
                <w:color w:val="auto"/>
              </w:rPr>
            </w:pPr>
            <w:r>
              <w:rPr>
                <w:rFonts w:ascii="Times New Roman" w:cs="Times New Roman" w:eastAsia="Times New Roman" w:hAnsi="Times New Roman"/>
                <w:sz w:val="18"/>
                <w:szCs w:val="18"/>
                <w:color w:val="auto"/>
              </w:rPr>
              <w:t>International Toll</w:t>
            </w:r>
          </w:p>
        </w:tc>
        <w:tc>
          <w:tcPr>
            <w:tcW w:w="5080" w:type="dxa"/>
            <w:vAlign w:val="bottom"/>
          </w:tcPr>
          <w:p>
            <w:pPr>
              <w:ind w:left="4660"/>
              <w:spacing w:after="0"/>
              <w:rPr>
                <w:sz w:val="20"/>
                <w:szCs w:val="20"/>
                <w:color w:val="auto"/>
              </w:rPr>
            </w:pPr>
            <w:r>
              <w:rPr>
                <w:rFonts w:ascii="Times New Roman" w:cs="Times New Roman" w:eastAsia="Times New Roman" w:hAnsi="Times New Roman"/>
                <w:sz w:val="18"/>
                <w:szCs w:val="18"/>
                <w:color w:val="auto"/>
              </w:rPr>
              <w:t>[ ● ]</w:t>
            </w:r>
          </w:p>
        </w:tc>
      </w:tr>
      <w:tr>
        <w:trPr>
          <w:trHeight w:val="216"/>
        </w:trPr>
        <w:tc>
          <w:tcPr>
            <w:tcW w:w="6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Participant Passcode</w:t>
            </w:r>
          </w:p>
        </w:tc>
        <w:tc>
          <w:tcPr>
            <w:tcW w:w="5080" w:type="dxa"/>
            <w:vAlign w:val="bottom"/>
            <w:shd w:val="clear" w:color="auto" w:fill="CCEEFF"/>
          </w:tcPr>
          <w:p>
            <w:pPr>
              <w:ind w:left="4660"/>
              <w:spacing w:after="0"/>
              <w:rPr>
                <w:sz w:val="20"/>
                <w:szCs w:val="20"/>
                <w:color w:val="auto"/>
              </w:rPr>
            </w:pPr>
            <w:r>
              <w:rPr>
                <w:rFonts w:ascii="Times New Roman" w:cs="Times New Roman" w:eastAsia="Times New Roman" w:hAnsi="Times New Roman"/>
                <w:sz w:val="18"/>
                <w:szCs w:val="18"/>
                <w:color w:val="auto"/>
              </w:rPr>
              <w:t>[ ● ]</w:t>
            </w:r>
          </w:p>
        </w:tc>
      </w:tr>
    </w:tbl>
    <w:p>
      <w:pPr>
        <w:spacing w:after="0" w:line="198"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The Notice of Special Meeting of Stockholders, the Proxy Statement and the proxy card accompany this letter are also available at https:[●]. We are first mailing these materials to our stockholders on or about [●], 2022.</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As discussed in the enclosed Proxy Statement, the purpose of the Special Meeting is to consider and vote upon the following proposals:</w:t>
      </w:r>
    </w:p>
    <w:p>
      <w:pPr>
        <w:spacing w:after="0" w:line="221" w:lineRule="exact"/>
        <w:rPr>
          <w:sz w:val="20"/>
          <w:szCs w:val="20"/>
          <w:color w:val="auto"/>
        </w:rPr>
      </w:pPr>
    </w:p>
    <w:p>
      <w:pPr>
        <w:jc w:val="both"/>
        <w:ind w:firstLine="656"/>
        <w:spacing w:after="0" w:line="262" w:lineRule="auto"/>
        <w:tabs>
          <w:tab w:leader="none" w:pos="874"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Proposal 1 - A proposal to amend BurTech’s second amended and restated certificate of incorporation (the “</w:t>
      </w:r>
      <w:r>
        <w:rPr>
          <w:rFonts w:ascii="Times New Roman" w:cs="Times New Roman" w:eastAsia="Times New Roman" w:hAnsi="Times New Roman"/>
          <w:sz w:val="18"/>
          <w:szCs w:val="18"/>
          <w:b w:val="1"/>
          <w:bCs w:val="1"/>
          <w:u w:val="single" w:color="auto"/>
          <w:color w:val="auto"/>
        </w:rPr>
        <w:t>Charter</w:t>
      </w:r>
      <w:r>
        <w:rPr>
          <w:rFonts w:ascii="Times New Roman" w:cs="Times New Roman" w:eastAsia="Times New Roman" w:hAnsi="Times New Roman"/>
          <w:sz w:val="18"/>
          <w:szCs w:val="18"/>
          <w:color w:val="auto"/>
        </w:rPr>
        <w:t>”), to extend the date by which BurTech has to consummate a business combination up to six (6) times (the “</w:t>
      </w:r>
      <w:r>
        <w:rPr>
          <w:rFonts w:ascii="Times New Roman" w:cs="Times New Roman" w:eastAsia="Times New Roman" w:hAnsi="Times New Roman"/>
          <w:sz w:val="18"/>
          <w:szCs w:val="18"/>
          <w:b w:val="1"/>
          <w:bCs w:val="1"/>
          <w:u w:val="single" w:color="auto"/>
          <w:color w:val="auto"/>
        </w:rPr>
        <w:t>Charter Amendment</w:t>
      </w:r>
      <w:r>
        <w:rPr>
          <w:rFonts w:ascii="Times New Roman" w:cs="Times New Roman" w:eastAsia="Times New Roman" w:hAnsi="Times New Roman"/>
          <w:sz w:val="18"/>
          <w:szCs w:val="18"/>
          <w:color w:val="auto"/>
        </w:rPr>
        <w:t>”), each such extension for an additional one (1) month period (each an “</w:t>
      </w:r>
      <w:r>
        <w:rPr>
          <w:rFonts w:ascii="Times New Roman" w:cs="Times New Roman" w:eastAsia="Times New Roman" w:hAnsi="Times New Roman"/>
          <w:sz w:val="18"/>
          <w:szCs w:val="18"/>
          <w:b w:val="1"/>
          <w:bCs w:val="1"/>
          <w:u w:val="single" w:color="auto"/>
          <w:color w:val="auto"/>
        </w:rPr>
        <w:t>Extension</w:t>
      </w:r>
      <w:r>
        <w:rPr>
          <w:rFonts w:ascii="Times New Roman" w:cs="Times New Roman" w:eastAsia="Times New Roman" w:hAnsi="Times New Roman"/>
          <w:sz w:val="18"/>
          <w:szCs w:val="18"/>
          <w:color w:val="auto"/>
        </w:rPr>
        <w:t>”), from March 15, 2023 to September 15, 2023 (such date actually extended being referred to as the “</w:t>
      </w:r>
      <w:r>
        <w:rPr>
          <w:rFonts w:ascii="Times New Roman" w:cs="Times New Roman" w:eastAsia="Times New Roman" w:hAnsi="Times New Roman"/>
          <w:sz w:val="18"/>
          <w:szCs w:val="18"/>
          <w:b w:val="1"/>
          <w:bCs w:val="1"/>
          <w:u w:val="single" w:color="auto"/>
          <w:color w:val="auto"/>
        </w:rPr>
        <w:t>Extended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u w:val="single" w:color="auto"/>
          <w:color w:val="auto"/>
        </w:rPr>
        <w:t>Termination Date</w:t>
      </w:r>
      <w:r>
        <w:rPr>
          <w:rFonts w:ascii="Times New Roman" w:cs="Times New Roman" w:eastAsia="Times New Roman" w:hAnsi="Times New Roman"/>
          <w:sz w:val="18"/>
          <w:szCs w:val="18"/>
          <w:color w:val="auto"/>
        </w:rPr>
        <w:t>”) (we refer to this proposal as the “</w:t>
      </w:r>
      <w:r>
        <w:rPr>
          <w:rFonts w:ascii="Times New Roman" w:cs="Times New Roman" w:eastAsia="Times New Roman" w:hAnsi="Times New Roman"/>
          <w:sz w:val="18"/>
          <w:szCs w:val="18"/>
          <w:b w:val="1"/>
          <w:bCs w:val="1"/>
          <w:u w:val="single" w:color="auto"/>
          <w:color w:val="auto"/>
        </w:rPr>
        <w:t>Charter Amendment Proposal</w:t>
      </w:r>
      <w:r>
        <w:rPr>
          <w:rFonts w:ascii="Times New Roman" w:cs="Times New Roman" w:eastAsia="Times New Roman" w:hAnsi="Times New Roman"/>
          <w:sz w:val="18"/>
          <w:szCs w:val="18"/>
          <w:color w:val="auto"/>
        </w:rPr>
        <w:t>”);</w:t>
      </w:r>
    </w:p>
    <w:p>
      <w:pPr>
        <w:spacing w:after="0" w:line="176" w:lineRule="exact"/>
        <w:rPr>
          <w:rFonts w:ascii="Times New Roman" w:cs="Times New Roman" w:eastAsia="Times New Roman" w:hAnsi="Times New Roman"/>
          <w:sz w:val="18"/>
          <w:szCs w:val="18"/>
          <w:color w:val="auto"/>
        </w:rPr>
      </w:pPr>
    </w:p>
    <w:p>
      <w:pPr>
        <w:jc w:val="both"/>
        <w:ind w:firstLine="656"/>
        <w:spacing w:after="0" w:line="259" w:lineRule="auto"/>
        <w:tabs>
          <w:tab w:leader="none" w:pos="955"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Proposal 2 — A proposal to amend BurTech’s investment management trust agreement, dated as of December 10, 2022 (the “</w:t>
      </w:r>
      <w:r>
        <w:rPr>
          <w:rFonts w:ascii="Times New Roman" w:cs="Times New Roman" w:eastAsia="Times New Roman" w:hAnsi="Times New Roman"/>
          <w:sz w:val="18"/>
          <w:szCs w:val="18"/>
          <w:b w:val="1"/>
          <w:bCs w:val="1"/>
          <w:u w:val="single" w:color="auto"/>
          <w:color w:val="auto"/>
        </w:rPr>
        <w:t>Trust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u w:val="single" w:color="auto"/>
          <w:color w:val="auto"/>
        </w:rPr>
        <w:t>Agreement</w:t>
      </w:r>
      <w:r>
        <w:rPr>
          <w:rFonts w:ascii="Times New Roman" w:cs="Times New Roman" w:eastAsia="Times New Roman" w:hAnsi="Times New Roman"/>
          <w:sz w:val="18"/>
          <w:szCs w:val="18"/>
          <w:color w:val="auto"/>
        </w:rPr>
        <w:t>”), by and between the Company and Continental Stock Transfer &amp; Trust Company (the “</w:t>
      </w:r>
      <w:r>
        <w:rPr>
          <w:rFonts w:ascii="Times New Roman" w:cs="Times New Roman" w:eastAsia="Times New Roman" w:hAnsi="Times New Roman"/>
          <w:sz w:val="18"/>
          <w:szCs w:val="18"/>
          <w:b w:val="1"/>
          <w:bCs w:val="1"/>
          <w:u w:val="single" w:color="auto"/>
          <w:color w:val="auto"/>
        </w:rPr>
        <w:t>Trustee</w:t>
      </w:r>
      <w:r>
        <w:rPr>
          <w:rFonts w:ascii="Times New Roman" w:cs="Times New Roman" w:eastAsia="Times New Roman" w:hAnsi="Times New Roman"/>
          <w:sz w:val="18"/>
          <w:szCs w:val="18"/>
          <w:color w:val="auto"/>
        </w:rPr>
        <w:t>”), allowing the Company to extend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Extended Termination Date another six (6) times, each such extension for an additional one (1) month period, until September 15, 2023, by depositing into the Trust Account $[2,025,000] (the “</w:t>
      </w:r>
      <w:r>
        <w:rPr>
          <w:rFonts w:ascii="Times New Roman" w:cs="Times New Roman" w:eastAsia="Times New Roman" w:hAnsi="Times New Roman"/>
          <w:sz w:val="18"/>
          <w:szCs w:val="18"/>
          <w:b w:val="1"/>
          <w:bCs w:val="1"/>
          <w:u w:val="single" w:color="auto"/>
          <w:color w:val="auto"/>
        </w:rPr>
        <w:t>Extension Payment</w:t>
      </w:r>
      <w:r>
        <w:rPr>
          <w:rFonts w:ascii="Times New Roman" w:cs="Times New Roman" w:eastAsia="Times New Roman" w:hAnsi="Times New Roman"/>
          <w:sz w:val="18"/>
          <w:szCs w:val="18"/>
          <w:color w:val="auto"/>
        </w:rPr>
        <w:t>”) for each one-month Extension (or up to an aggregate of $[337,500] for the total six-month period), (the “</w:t>
      </w:r>
      <w:r>
        <w:rPr>
          <w:rFonts w:ascii="Times New Roman" w:cs="Times New Roman" w:eastAsia="Times New Roman" w:hAnsi="Times New Roman"/>
          <w:sz w:val="18"/>
          <w:szCs w:val="18"/>
          <w:b w:val="1"/>
          <w:bCs w:val="1"/>
          <w:u w:val="single" w:color="auto"/>
          <w:color w:val="auto"/>
        </w:rPr>
        <w:t>Trust Amendment</w:t>
      </w:r>
      <w:r>
        <w:rPr>
          <w:rFonts w:ascii="Times New Roman" w:cs="Times New Roman" w:eastAsia="Times New Roman" w:hAnsi="Times New Roman"/>
          <w:sz w:val="18"/>
          <w:szCs w:val="18"/>
          <w:color w:val="auto"/>
        </w:rPr>
        <w:t>”) (we refer to this proposal as the “</w:t>
      </w:r>
      <w:r>
        <w:rPr>
          <w:rFonts w:ascii="Times New Roman" w:cs="Times New Roman" w:eastAsia="Times New Roman" w:hAnsi="Times New Roman"/>
          <w:sz w:val="18"/>
          <w:szCs w:val="18"/>
          <w:b w:val="1"/>
          <w:bCs w:val="1"/>
          <w:u w:val="single" w:color="auto"/>
          <w:color w:val="auto"/>
        </w:rPr>
        <w:t>Trust Amendment Proposal</w:t>
      </w:r>
      <w:r>
        <w:rPr>
          <w:rFonts w:ascii="Times New Roman" w:cs="Times New Roman" w:eastAsia="Times New Roman" w:hAnsi="Times New Roman"/>
          <w:sz w:val="18"/>
          <w:szCs w:val="18"/>
          <w:color w:val="auto"/>
        </w:rPr>
        <w:t>”); and</w:t>
      </w:r>
    </w:p>
    <w:p>
      <w:pPr>
        <w:spacing w:after="0" w:line="183" w:lineRule="exact"/>
        <w:rPr>
          <w:rFonts w:ascii="Times New Roman" w:cs="Times New Roman" w:eastAsia="Times New Roman" w:hAnsi="Times New Roman"/>
          <w:sz w:val="18"/>
          <w:szCs w:val="18"/>
          <w:color w:val="auto"/>
        </w:rPr>
      </w:pPr>
    </w:p>
    <w:p>
      <w:pPr>
        <w:jc w:val="both"/>
        <w:ind w:firstLine="656"/>
        <w:spacing w:after="0" w:line="266" w:lineRule="auto"/>
        <w:tabs>
          <w:tab w:leader="none" w:pos="1004"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Proposal 3 - A proposal to direct the chairman of the Special Meeting to adjourn the Special Meeting to a later date or dates (the “</w:t>
      </w:r>
      <w:r>
        <w:rPr>
          <w:rFonts w:ascii="Times New Roman" w:cs="Times New Roman" w:eastAsia="Times New Roman" w:hAnsi="Times New Roman"/>
          <w:sz w:val="18"/>
          <w:szCs w:val="18"/>
          <w:b w:val="1"/>
          <w:bCs w:val="1"/>
          <w:u w:val="single" w:color="auto"/>
          <w:color w:val="auto"/>
        </w:rPr>
        <w:t>Adjournment</w:t>
      </w:r>
      <w:r>
        <w:rPr>
          <w:rFonts w:ascii="Times New Roman" w:cs="Times New Roman" w:eastAsia="Times New Roman" w:hAnsi="Times New Roman"/>
          <w:sz w:val="18"/>
          <w:szCs w:val="18"/>
          <w:color w:val="auto"/>
        </w:rPr>
        <w:t xml:space="preserve">”), if necessary, to permit further solicitation and vote of proxies if, based upon the tabulated vote at the time of the Special Meeting, there are not sufficient votes to approve the foregoing proposal (we refer to this proposal as the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u w:val="single" w:color="auto"/>
          <w:color w:val="auto"/>
        </w:rPr>
        <w:t>Adjournment Proposal</w:t>
      </w:r>
      <w:r>
        <w:rPr>
          <w:rFonts w:ascii="Times New Roman" w:cs="Times New Roman" w:eastAsia="Times New Roman" w:hAnsi="Times New Roman"/>
          <w:sz w:val="18"/>
          <w:szCs w:val="18"/>
          <w:color w:val="auto"/>
        </w:rPr>
        <w:t>”).</w:t>
      </w:r>
    </w:p>
    <w:p>
      <w:pPr>
        <w:spacing w:after="0" w:line="176"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Although the Company entered into a non-binding letter of intent for a potential business combination with JetSynthesys Pvt. Ltd., the Company is still in the process of identifying a potential business combination target company (the “</w:t>
      </w:r>
      <w:r>
        <w:rPr>
          <w:rFonts w:ascii="Times New Roman" w:cs="Times New Roman" w:eastAsia="Times New Roman" w:hAnsi="Times New Roman"/>
          <w:sz w:val="18"/>
          <w:szCs w:val="18"/>
          <w:b w:val="1"/>
          <w:bCs w:val="1"/>
          <w:u w:val="single" w:color="auto"/>
          <w:color w:val="auto"/>
        </w:rPr>
        <w:t>Target</w:t>
      </w:r>
      <w:r>
        <w:rPr>
          <w:rFonts w:ascii="Times New Roman" w:cs="Times New Roman" w:eastAsia="Times New Roman" w:hAnsi="Times New Roman"/>
          <w:sz w:val="18"/>
          <w:szCs w:val="18"/>
          <w:color w:val="auto"/>
        </w:rPr>
        <w:t>”) for its initial business combination (the “</w:t>
      </w:r>
      <w:r>
        <w:rPr>
          <w:rFonts w:ascii="Times New Roman" w:cs="Times New Roman" w:eastAsia="Times New Roman" w:hAnsi="Times New Roman"/>
          <w:sz w:val="18"/>
          <w:szCs w:val="18"/>
          <w:b w:val="1"/>
          <w:bCs w:val="1"/>
          <w:u w:val="single" w:color="auto"/>
          <w:color w:val="auto"/>
        </w:rPr>
        <w:t>Initial Business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u w:val="single" w:color="auto"/>
          <w:color w:val="auto"/>
        </w:rPr>
        <w:t>Combination</w:t>
      </w: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414655</wp:posOffset>
            </wp:positionV>
            <wp:extent cx="71323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2" w:name="page3"/>
    <w:bookmarkEnd w:id="2"/>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The purpose of the Charter Amendment Proposal and the Trust Amendment Proposal is to allow the Company additional time to complete an Initial Business Combination. The Company’s prospectus for its initial public offering (“</w:t>
      </w:r>
      <w:r>
        <w:rPr>
          <w:rFonts w:ascii="Times New Roman" w:cs="Times New Roman" w:eastAsia="Times New Roman" w:hAnsi="Times New Roman"/>
          <w:sz w:val="18"/>
          <w:szCs w:val="18"/>
          <w:b w:val="1"/>
          <w:bCs w:val="1"/>
          <w:u w:val="single" w:color="auto"/>
          <w:color w:val="auto"/>
        </w:rPr>
        <w:t>IPO</w:t>
      </w:r>
      <w:r>
        <w:rPr>
          <w:rFonts w:ascii="Times New Roman" w:cs="Times New Roman" w:eastAsia="Times New Roman" w:hAnsi="Times New Roman"/>
          <w:sz w:val="18"/>
          <w:szCs w:val="18"/>
          <w:color w:val="auto"/>
        </w:rPr>
        <w:t>”) and its Charter provide that the Company has until March 15, 2023 (the “</w:t>
      </w:r>
      <w:r>
        <w:rPr>
          <w:rFonts w:ascii="Times New Roman" w:cs="Times New Roman" w:eastAsia="Times New Roman" w:hAnsi="Times New Roman"/>
          <w:sz w:val="18"/>
          <w:szCs w:val="18"/>
          <w:b w:val="1"/>
          <w:bCs w:val="1"/>
          <w:u w:val="single" w:color="auto"/>
          <w:color w:val="auto"/>
        </w:rPr>
        <w:t>Original Termination Date</w:t>
      </w:r>
      <w:r>
        <w:rPr>
          <w:rFonts w:ascii="Times New Roman" w:cs="Times New Roman" w:eastAsia="Times New Roman" w:hAnsi="Times New Roman"/>
          <w:sz w:val="18"/>
          <w:szCs w:val="18"/>
          <w:color w:val="auto"/>
        </w:rPr>
        <w:t>”) to complete an initial business combination. There is not sufficient time before March 15, 2023 for the Company to identify a target and complete the Initial Business Combination given the projected timetable or filing with the Securities and Exchange Commission (“SEC”) a registration statement under the Securities Act of 1933 on Form S-4 (the “</w:t>
      </w:r>
      <w:r>
        <w:rPr>
          <w:rFonts w:ascii="Times New Roman" w:cs="Times New Roman" w:eastAsia="Times New Roman" w:hAnsi="Times New Roman"/>
          <w:sz w:val="18"/>
          <w:szCs w:val="18"/>
          <w:b w:val="1"/>
          <w:bCs w:val="1"/>
          <w:color w:val="auto"/>
        </w:rPr>
        <w:t>Initial Business Combination Registration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Statement</w:t>
      </w:r>
      <w:r>
        <w:rPr>
          <w:rFonts w:ascii="Times New Roman" w:cs="Times New Roman" w:eastAsia="Times New Roman" w:hAnsi="Times New Roman"/>
          <w:sz w:val="18"/>
          <w:szCs w:val="18"/>
          <w:color w:val="auto"/>
        </w:rPr>
        <w:t>”), and having it declared effective prior to holding a Special Meeting of the Company to consider any Initial Business Combination.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Accordingly, the Board has determined that it is in the best interests of our stockholders to extend the date that the Company has to consummate an initial business combination.</w:t>
      </w:r>
    </w:p>
    <w:p>
      <w:pPr>
        <w:spacing w:after="0" w:line="192"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If the Charter Amendment Proposal and the Trust Amendment Proposal are approved, the Company would have up to an additional six months after the Original Termination Date to consummate an Initial Business Combination until September 15, 2023, which is a total of up to 21 months to complete an Initial Business Combination after the Company’s IPO.</w:t>
      </w:r>
    </w:p>
    <w:p>
      <w:pPr>
        <w:spacing w:after="0" w:line="172"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color w:val="auto"/>
        </w:rPr>
        <w:t>Upon the closing of the Company’s IPO, approximately $292.2 million was placed in a trust account (“</w:t>
      </w:r>
      <w:r>
        <w:rPr>
          <w:rFonts w:ascii="Times New Roman" w:cs="Times New Roman" w:eastAsia="Times New Roman" w:hAnsi="Times New Roman"/>
          <w:sz w:val="18"/>
          <w:szCs w:val="18"/>
          <w:b w:val="1"/>
          <w:bCs w:val="1"/>
          <w:u w:val="single" w:color="auto"/>
          <w:color w:val="auto"/>
        </w:rPr>
        <w:t>Trust Account</w:t>
      </w:r>
      <w:r>
        <w:rPr>
          <w:rFonts w:ascii="Times New Roman" w:cs="Times New Roman" w:eastAsia="Times New Roman" w:hAnsi="Times New Roman"/>
          <w:sz w:val="18"/>
          <w:szCs w:val="18"/>
          <w:color w:val="auto"/>
        </w:rPr>
        <w:t>”) located in the United States with Continental Stock Transfer &amp; Trust Company acting as trustee, and held as cash or invested only in U.S. government securities.</w:t>
      </w:r>
    </w:p>
    <w:p>
      <w:pPr>
        <w:spacing w:after="0" w:line="159"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The Board has fixed the close of business on [●], 2022 as the record date for determining the Company’s stockholders entitled to receive notice of and to vote at the Special Meeting and any adjournment thereof (the “</w:t>
      </w:r>
      <w:r>
        <w:rPr>
          <w:rFonts w:ascii="Times New Roman" w:cs="Times New Roman" w:eastAsia="Times New Roman" w:hAnsi="Times New Roman"/>
          <w:sz w:val="18"/>
          <w:szCs w:val="18"/>
          <w:b w:val="1"/>
          <w:bCs w:val="1"/>
          <w:color w:val="auto"/>
        </w:rPr>
        <w:t>Record Date</w:t>
      </w:r>
      <w:r>
        <w:rPr>
          <w:rFonts w:ascii="Times New Roman" w:cs="Times New Roman" w:eastAsia="Times New Roman" w:hAnsi="Times New Roman"/>
          <w:sz w:val="18"/>
          <w:szCs w:val="18"/>
          <w:color w:val="auto"/>
        </w:rPr>
        <w:t xml:space="preserve">”). On the Record Date, there were 28,750,000 shares of Class A common stock, $0.0001 par value, (the “Class A </w:t>
      </w:r>
      <w:r>
        <w:rPr>
          <w:rFonts w:ascii="Times New Roman" w:cs="Times New Roman" w:eastAsia="Times New Roman" w:hAnsi="Times New Roman"/>
          <w:sz w:val="18"/>
          <w:szCs w:val="18"/>
          <w:b w:val="1"/>
          <w:bCs w:val="1"/>
          <w:color w:val="auto"/>
        </w:rPr>
        <w:t>common stock</w:t>
      </w:r>
      <w:r>
        <w:rPr>
          <w:rFonts w:ascii="Times New Roman" w:cs="Times New Roman" w:eastAsia="Times New Roman" w:hAnsi="Times New Roman"/>
          <w:sz w:val="18"/>
          <w:szCs w:val="18"/>
          <w:color w:val="auto"/>
        </w:rPr>
        <w:t>”), and 9,487,500 shares of Class B common stock, par value $0.0001 per share (the Class B common stock), issued and outstanding. The shares of Class B common stock are convertible into shares of Class A common stock on a one-for-one basis, subject to adjustment. The Class A common stock and the Class B common stock are collectively referred to as the Company’s “</w:t>
      </w:r>
      <w:r>
        <w:rPr>
          <w:rFonts w:ascii="Times New Roman" w:cs="Times New Roman" w:eastAsia="Times New Roman" w:hAnsi="Times New Roman"/>
          <w:sz w:val="18"/>
          <w:szCs w:val="18"/>
          <w:b w:val="1"/>
          <w:bCs w:val="1"/>
          <w:color w:val="auto"/>
        </w:rPr>
        <w:t>Common Stock.</w:t>
      </w:r>
      <w:r>
        <w:rPr>
          <w:rFonts w:ascii="Times New Roman" w:cs="Times New Roman" w:eastAsia="Times New Roman" w:hAnsi="Times New Roman"/>
          <w:sz w:val="18"/>
          <w:szCs w:val="18"/>
          <w:color w:val="auto"/>
        </w:rPr>
        <w:t>” The public shares of Class A common stock are referred to as the “Public Shares.” Only holders of record of the Company’s Common Stock on the Record Date are entitled to have their votes counted at the Special Meeting or any adjournment thereof.</w:t>
      </w:r>
    </w:p>
    <w:p>
      <w:pPr>
        <w:spacing w:after="0" w:line="189"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Each of the Charter Amendment Proposal, the Trust Amendment Proposal and the Adjournment Proposal are more fully described in the accompanying Proxy Statement.</w:t>
      </w:r>
    </w:p>
    <w:p>
      <w:pPr>
        <w:spacing w:after="0" w:line="162"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The purpose of the Charter Amendment Proposal and the Trust Amendment Proposal is to allow BurTech more time to complete its Initial Business combination.</w:t>
      </w:r>
    </w:p>
    <w:p>
      <w:pPr>
        <w:spacing w:after="0" w:line="162"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 Company’s Current Charter and Trust Agreement provide that BurTech has only until March 15, 2023 to complete a business combination (i.e., 15 months from the consummation of the IPO). If both the Charter Amendment Proposal and the Trust Amendment Proposal are approved, the Company will instead have the right to extend the time to consummate a business combination from March 15, 2023 on a month-to-month and as needed basis, until September 15, 2023 (21 months from the consummation of the IPO).</w:t>
      </w:r>
    </w:p>
    <w:p>
      <w:pPr>
        <w:spacing w:after="0" w:line="176"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18"/>
          <w:szCs w:val="18"/>
          <w:color w:val="auto"/>
        </w:rPr>
        <w:t>The Company’s Sponsor or any of its affiliates (the “</w:t>
      </w:r>
      <w:r>
        <w:rPr>
          <w:rFonts w:ascii="Times New Roman" w:cs="Times New Roman" w:eastAsia="Times New Roman" w:hAnsi="Times New Roman"/>
          <w:sz w:val="18"/>
          <w:szCs w:val="18"/>
          <w:b w:val="1"/>
          <w:bCs w:val="1"/>
          <w:u w:val="single" w:color="auto"/>
          <w:color w:val="auto"/>
        </w:rPr>
        <w:t>Contributors</w:t>
      </w:r>
      <w:r>
        <w:rPr>
          <w:rFonts w:ascii="Times New Roman" w:cs="Times New Roman" w:eastAsia="Times New Roman" w:hAnsi="Times New Roman"/>
          <w:sz w:val="18"/>
          <w:szCs w:val="18"/>
          <w:color w:val="auto"/>
        </w:rPr>
        <w:t>”) have agreed that if the Charter Amendment Proposal and the Trust Amendment Proposal are approved, they will contribute to the Trust Account $[337,500] for each one-month Extension, paid on a month-to-month and as-needed basis, (each being referred to herein as a “</w:t>
      </w:r>
      <w:r>
        <w:rPr>
          <w:rFonts w:ascii="Times New Roman" w:cs="Times New Roman" w:eastAsia="Times New Roman" w:hAnsi="Times New Roman"/>
          <w:sz w:val="18"/>
          <w:szCs w:val="18"/>
          <w:b w:val="1"/>
          <w:bCs w:val="1"/>
          <w:u w:val="single" w:color="auto"/>
          <w:color w:val="auto"/>
        </w:rPr>
        <w:t>Contribution</w:t>
      </w:r>
      <w:r>
        <w:rPr>
          <w:rFonts w:ascii="Times New Roman" w:cs="Times New Roman" w:eastAsia="Times New Roman" w:hAnsi="Times New Roman"/>
          <w:sz w:val="18"/>
          <w:szCs w:val="18"/>
          <w:color w:val="auto"/>
        </w:rPr>
        <w:t>”), upon five days’ advance notice prior to the applicable deadlines, to extend the Combination Period for an additional one (1) month period each time, for up to six (6) times, until September 15, 2023. Each Contribution will be deposited in the Trust Account within two business days prior to the beginning of the additional extension period. If the Company extends the time to complete a business combination to September 15, 2023, the Contributors would make aggregate Contributions in the amount of $[2,025,000].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421005</wp:posOffset>
            </wp:positionV>
            <wp:extent cx="713232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3" w:name="page4"/>
    <w:bookmarkEnd w:id="3"/>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The Contributors will not make any Contribution unless the Charter Amendment Proposal and the Trust Amendment Proposal are both approved and the Extension Termination Date is extended. The Contribution(s) will not bear any interest. The contributions will be lost if the Company is unable to consummate an initial business combination except to the extent of any funds held outside of the Trust Account. The Company will have the sole discretion whether to continue extending the time to complete a business combination until the Extended Termination Date, and if the Company determines not to continue extending for an additional period, any obligation to make additional Contributions will terminate. If this occurs, or if the Company’s board of directors otherwise determines that the Company will not be able to consummate an initial business combination by the Extended Termination Date and does not wish to seek an additional Extension, the Company would wind up the Company’s affairs and redeem 100% of the outstanding public shares of Class A common stock in accordance with the same procedures set forth below that would be applicable if the Charter Amendment Proposal and the Trust Amendment Proposal are not approved.</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Background</w:t>
      </w:r>
    </w:p>
    <w:p>
      <w:pPr>
        <w:spacing w:after="0" w:line="229"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BurTech was incorporated in Delaware on March 02, 2021 and was formed for the purpose of entering into a merger, share exchange, asset acquisition, stock purchase, recapitalization, reorganization or other similar Business Combination with one or more businesses or entities. As disclosed in the Company’s prospectus dated December 09, 2021 in connection with its initial public offering (the “</w:t>
      </w:r>
      <w:r>
        <w:rPr>
          <w:rFonts w:ascii="Times New Roman" w:cs="Times New Roman" w:eastAsia="Times New Roman" w:hAnsi="Times New Roman"/>
          <w:sz w:val="18"/>
          <w:szCs w:val="18"/>
          <w:b w:val="1"/>
          <w:bCs w:val="1"/>
          <w:u w:val="single" w:color="auto"/>
          <w:color w:val="auto"/>
        </w:rPr>
        <w:t>IPO</w:t>
      </w:r>
      <w:r>
        <w:rPr>
          <w:rFonts w:ascii="Times New Roman" w:cs="Times New Roman" w:eastAsia="Times New Roman" w:hAnsi="Times New Roman"/>
          <w:sz w:val="18"/>
          <w:szCs w:val="18"/>
          <w:color w:val="auto"/>
        </w:rPr>
        <w:t>”), pursuant to the Trust Agreement, and the Company’s Charter BurTech has until March 15, 2023 to complete the Business Combination. If the Business Combination is not completed prior to March 15, 2023, BurTech can extend the time to complete the Business Combination only by the amendment of its Charter which requires the approval of at least 65% of the holders of the Company’s Common Stock entitled to vote, which include the holders of both the Class A common stock and the Class B common stock.</w:t>
      </w:r>
    </w:p>
    <w:p>
      <w:pPr>
        <w:spacing w:after="0" w:line="189"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If BurTech is unable to complete its initial business combination within such period (or as extended as described herein), it would (i) cease all operations except for the purpose of winding up and (ii) as promptly as reasonably possible but not more than ten business days thereafter, redeem 100% of the outstanding public shares of Class A common stock, at a per-share of common stock price, payable in cash, equal to the aggregate amount then on deposit in the Trust Account, including any interest not previously released to BurTech (net of taxes payable), divided by the number of then outstanding public shares of Class A common stock, which redemption will completely extinguish public stockholders’ rights as holders of public shares of Class A common stock (including the right to receive further liquidation distributions, if any), subject to applicable law. As promptly as reasonably possible following such redemption, subject to the approval of the remaining stockholders and the Board, BurTech would dissolve and liquidate, subject to its obligations under Delaware law to provide for claims of creditors and the requirements of other applicable law. There will be no distribution from the Trust Account with respect to the Company’s warrants, which will expire worthless in the event of our winding up.</w:t>
      </w:r>
    </w:p>
    <w:p>
      <w:pPr>
        <w:spacing w:after="0" w:line="18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Failure to Timely Complete a Business Combination</w:t>
      </w:r>
    </w:p>
    <w:p>
      <w:pPr>
        <w:spacing w:after="0" w:line="225"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18"/>
          <w:szCs w:val="18"/>
          <w:color w:val="auto"/>
        </w:rPr>
        <w:t>As disclosed in the Company’s prospectus dated December 09, 2021 in connection with its initial public offering (the “</w:t>
      </w:r>
      <w:r>
        <w:rPr>
          <w:rFonts w:ascii="Times New Roman" w:cs="Times New Roman" w:eastAsia="Times New Roman" w:hAnsi="Times New Roman"/>
          <w:sz w:val="18"/>
          <w:szCs w:val="18"/>
          <w:b w:val="1"/>
          <w:bCs w:val="1"/>
          <w:u w:val="single" w:color="auto"/>
          <w:color w:val="auto"/>
        </w:rPr>
        <w:t>IPO</w:t>
      </w:r>
      <w:r>
        <w:rPr>
          <w:rFonts w:ascii="Times New Roman" w:cs="Times New Roman" w:eastAsia="Times New Roman" w:hAnsi="Times New Roman"/>
          <w:sz w:val="18"/>
          <w:szCs w:val="18"/>
          <w:color w:val="auto"/>
        </w:rPr>
        <w:t>”), pursuant to the Trust Agreement, and the Company’s Charter, if BurTech does not complete its initial Business Combination within 15 months from the closing of the IPO, or March 15, 2023, BurTech would cease all operations except for the purpose of winding up the Company.</w:t>
      </w:r>
    </w:p>
    <w:p>
      <w:pPr>
        <w:spacing w:after="0" w:line="175"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BurTech and its board of directors have determined that there will not be sufficient time before March 15, 2023 to hold a Special Meeting to obtain stockholder approval of, and to consummate, an Initial Business Combination. Accordingly, BurTech’s board has determined that, given BurTech’s expenditure of time, effort and money on identifying a suitable company as a target business and completing its initial business combination, it is in the best interests of its stockholders to approve the Charter Amendment Proposal and the Trust Amendment Proposal in order to amend the Charter and to amend the Trust Agreement. Assuming that the Charter Amendment Proposal and the Trust Amendment Proposal are so approved, and both the Charter and the Trust Agreement are amended, BurTech will have to consummate an initial business combination before the Extended Termination Date.</w:t>
      </w:r>
    </w:p>
    <w:p>
      <w:pPr>
        <w:spacing w:after="0" w:line="183" w:lineRule="exact"/>
        <w:rPr>
          <w:sz w:val="20"/>
          <w:szCs w:val="20"/>
          <w:color w:val="auto"/>
        </w:rPr>
      </w:pPr>
    </w:p>
    <w:p>
      <w:pPr>
        <w:jc w:val="both"/>
        <w:ind w:firstLine="648"/>
        <w:spacing w:after="0" w:line="259" w:lineRule="auto"/>
        <w:rPr>
          <w:sz w:val="20"/>
          <w:szCs w:val="20"/>
          <w:color w:val="auto"/>
        </w:rPr>
      </w:pPr>
      <w:r>
        <w:rPr>
          <w:rFonts w:ascii="Times New Roman" w:cs="Times New Roman" w:eastAsia="Times New Roman" w:hAnsi="Times New Roman"/>
          <w:sz w:val="18"/>
          <w:szCs w:val="18"/>
          <w:b w:val="1"/>
          <w:bCs w:val="1"/>
          <w:color w:val="auto"/>
        </w:rPr>
        <w:t>You are not being asked to vote on any business combination at this time. If the Charter Amendment Proposal the Trust Amendment Proposal is implemented and you do not elect to redeem your shares of Class A common stock now, you will retain the right to vote on an Initial Business combination when it is submitted to stockholders and the right to redeem your shares of Class A common stock into a pro rata portion of the Trust Account in the event a business combination is approved and completed or the Company has not consummated a business combination by the Extended Termination 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419100</wp:posOffset>
            </wp:positionV>
            <wp:extent cx="71323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4" w:name="page5"/>
    <w:bookmarkEnd w:id="4"/>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If BurTech’s board of directors determines that BurTech will not be able to consummate an initial business combination by the Extended Termination Date, BurTech would then look to wind up the Company’s affairs and redeem 100% of the outstanding public shares of Class A common stock.</w:t>
      </w:r>
    </w:p>
    <w:p>
      <w:pPr>
        <w:spacing w:after="0" w:line="172"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In connection with the Charter Amendment Proposal, public stockholders may elect (the “</w:t>
      </w:r>
      <w:r>
        <w:rPr>
          <w:rFonts w:ascii="Times New Roman" w:cs="Times New Roman" w:eastAsia="Times New Roman" w:hAnsi="Times New Roman"/>
          <w:sz w:val="18"/>
          <w:szCs w:val="18"/>
          <w:b w:val="1"/>
          <w:bCs w:val="1"/>
          <w:u w:val="single" w:color="auto"/>
          <w:color w:val="auto"/>
        </w:rPr>
        <w:t>Election</w:t>
      </w:r>
      <w:r>
        <w:rPr>
          <w:rFonts w:ascii="Times New Roman" w:cs="Times New Roman" w:eastAsia="Times New Roman" w:hAnsi="Times New Roman"/>
          <w:sz w:val="18"/>
          <w:szCs w:val="18"/>
          <w:color w:val="auto"/>
        </w:rPr>
        <w:t>”) to redeem their shares for a per-share price, payable in cash, equal to the aggregate amount then on deposit in the Trust Account, including interest not previously released to BurTech to pay franchise and income taxes, divided by the number of then outstanding public shares of Class A common stock, regardless of whether such public stockholders vote “FOR” or “AGAINST” the Charter Amendment Proposal, the Trust Amendment Proposal and the Adjournment, and an Election can also be made by public stockholders who do not vote, or do not instruct their broker or bank how to vote, at the Special Meeting. Public stockholders may make an Election regardless of whether such public stockholders were holders as of the record date. If the Charter Amendment Proposal and the Trust Amendment Proposal are approved by the requisite vote of stockholders, the remaining holders of public shares of Class A common stock will retain their right to redeem their public shares of Class A common stock when the Initial Business combination is submitted to the stockholders, subject to any limitations set forth in our Charter, as amended by the Charter Amendment Proposal and the Trust Amendment Proposal. However, BurTech will not proceed with the Charter Amendment Proposal and the Trust Amendment Proposal if the redemption of public shares of Class A common stock in connection therewith would cause BurTech to have net tangible assets of less than $5,000,001. Each redemption of shares of Class A common stock by our public stockholders will decrease the amount in our Trust Account, which held approximately $292.2 million of marketable securities as of November [*], 2022. In addition, public stockholders who do not make the Election would be entitled to have their shares redeemed for cash if BurTech has not completed a business combination by the Extended Termination Date. Our sponsor, our officers and directors and our other initial stockholders, own an aggregate of 10,385,750 shares of our common stock, which include 9,487,500 shares Class B shares of common stock which we refer to as the “</w:t>
      </w:r>
      <w:r>
        <w:rPr>
          <w:rFonts w:ascii="Times New Roman" w:cs="Times New Roman" w:eastAsia="Times New Roman" w:hAnsi="Times New Roman"/>
          <w:sz w:val="18"/>
          <w:szCs w:val="18"/>
          <w:b w:val="1"/>
          <w:bCs w:val="1"/>
          <w:u w:val="single" w:color="auto"/>
          <w:color w:val="auto"/>
        </w:rPr>
        <w:t>Founder Shares</w:t>
      </w:r>
      <w:r>
        <w:rPr>
          <w:rFonts w:ascii="Times New Roman" w:cs="Times New Roman" w:eastAsia="Times New Roman" w:hAnsi="Times New Roman"/>
          <w:sz w:val="18"/>
          <w:szCs w:val="18"/>
          <w:color w:val="auto"/>
        </w:rPr>
        <w:t>”, that were issued prior to our IPO and 898,250 shares of Class A common stock that were part of the private units purchased by our sponsor in a private placement which occurred simultaneously with the completion of the IPO (the “</w:t>
      </w:r>
      <w:r>
        <w:rPr>
          <w:rFonts w:ascii="Times New Roman" w:cs="Times New Roman" w:eastAsia="Times New Roman" w:hAnsi="Times New Roman"/>
          <w:sz w:val="18"/>
          <w:szCs w:val="18"/>
          <w:b w:val="1"/>
          <w:bCs w:val="1"/>
          <w:u w:val="single" w:color="auto"/>
          <w:color w:val="auto"/>
        </w:rPr>
        <w:t>Private Placement Shares</w:t>
      </w:r>
      <w:r>
        <w:rPr>
          <w:rFonts w:ascii="Times New Roman" w:cs="Times New Roman" w:eastAsia="Times New Roman" w:hAnsi="Times New Roman"/>
          <w:sz w:val="18"/>
          <w:szCs w:val="18"/>
          <w:color w:val="auto"/>
        </w:rPr>
        <w:t>”).</w:t>
      </w:r>
    </w:p>
    <w:p>
      <w:pPr>
        <w:spacing w:after="0" w:line="197"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We have issued to EF Hutton, a division of Benchmark Investments, LLC or their affiliates, as representative of the underwriters in our IPO (the “</w:t>
      </w:r>
      <w:r>
        <w:rPr>
          <w:rFonts w:ascii="Times New Roman" w:cs="Times New Roman" w:eastAsia="Times New Roman" w:hAnsi="Times New Roman"/>
          <w:sz w:val="18"/>
          <w:szCs w:val="18"/>
          <w:b w:val="1"/>
          <w:bCs w:val="1"/>
          <w:u w:val="single" w:color="auto"/>
          <w:color w:val="auto"/>
        </w:rPr>
        <w:t>Representative</w:t>
      </w:r>
      <w:r>
        <w:rPr>
          <w:rFonts w:ascii="Times New Roman" w:cs="Times New Roman" w:eastAsia="Times New Roman" w:hAnsi="Times New Roman"/>
          <w:sz w:val="18"/>
          <w:szCs w:val="18"/>
          <w:color w:val="auto"/>
        </w:rPr>
        <w:t>”), 431,250 shares of our Class A common stock in connection with the consummation of the IPO (including share issued upon exercise of the underwriters’ over-allotment option). We refer to such shares of Class A common stock as the “</w:t>
      </w:r>
      <w:r>
        <w:rPr>
          <w:rFonts w:ascii="Times New Roman" w:cs="Times New Roman" w:eastAsia="Times New Roman" w:hAnsi="Times New Roman"/>
          <w:sz w:val="18"/>
          <w:szCs w:val="18"/>
          <w:b w:val="1"/>
          <w:bCs w:val="1"/>
          <w:u w:val="single" w:color="auto"/>
          <w:color w:val="auto"/>
        </w:rPr>
        <w:t>Representative Shares</w:t>
      </w:r>
      <w:r>
        <w:rPr>
          <w:rFonts w:ascii="Times New Roman" w:cs="Times New Roman" w:eastAsia="Times New Roman" w:hAnsi="Times New Roman"/>
          <w:sz w:val="18"/>
          <w:szCs w:val="18"/>
          <w:color w:val="auto"/>
        </w:rPr>
        <w:t>.” The holders of the Representative Shares have agreed not to transfer, assign or sell any such shares without our prior consent until the completion of our initial business combination. In addition, the holders of the Representative Shares have agreed (i) to waive their redemption rights (or right to participate in any tender offer) with respect to such shares in connection with the completion of our initial business combination and (ii) to waive their rights to liquidating distributions from the trust account with respect to such shares if we fail to complete our initial business combination by the Original Termination 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422910</wp:posOffset>
            </wp:positionV>
            <wp:extent cx="71323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5" w:name="page6"/>
    <w:bookmarkEnd w:id="5"/>
    <w:p>
      <w:pPr>
        <w:jc w:val="both"/>
        <w:ind w:firstLine="648"/>
        <w:spacing w:after="0" w:line="259" w:lineRule="auto"/>
        <w:rPr>
          <w:sz w:val="20"/>
          <w:szCs w:val="20"/>
          <w:color w:val="auto"/>
        </w:rPr>
      </w:pPr>
      <w:r>
        <w:rPr>
          <w:rFonts w:ascii="Times New Roman" w:cs="Times New Roman" w:eastAsia="Times New Roman" w:hAnsi="Times New Roman"/>
          <w:sz w:val="18"/>
          <w:szCs w:val="18"/>
          <w:b w:val="1"/>
          <w:bCs w:val="1"/>
          <w:color w:val="auto"/>
        </w:rPr>
        <w:t>To exercise your redemption rights, you must tender your shares to the Company’s transfer agent at least two business days prior to the Special Meeting (or [●], 2022). You may tender your shares by either delivering your share certificate to the transfer agent or by delivering your shares electronically using the Depository Trust Company’s DWAC (Deposit/Withdrawal At Custodian) system. If you hold your shares in street name, you will need to instruct your bank, broker or other nominee to withdraw the shares from your account in order to exercise your redemption rights.</w:t>
      </w:r>
    </w:p>
    <w:p>
      <w:pPr>
        <w:spacing w:after="0" w:line="183"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As of [November *], 2022, there was approximately $292.2 million in the Trust Account. If the Charter Amendment Proposal and the Trust Amendment Proposal are approved and the Extension Termination Date is extended to September 15, 2023, the redemption price per share at the meeting for the Initial Business combination or the Company’s subsequent liquidation will be approximately $[10.195] per share (without taking into account any interest), in comparison to the current redemption price of approximately $[10.15] per share. The closing price of the Company’s common stock on [●], 2022 was $[●]. The Company cannot assure stockholders that they will be able to sell their shares of the Company’s common stock in the open market, even if the market price per share is higher than the redemption price stated above, as there may not be sufficient liquidity in its securities when such stockholders wish to sell their shares.</w:t>
      </w:r>
    </w:p>
    <w:p>
      <w:pPr>
        <w:spacing w:after="0" w:line="18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If the Charter Amendment Proposal, the Trust Amendment Proposal and the Adjournment proposals are not approved, and we do not consummate a business combination by March 15, 2023, as contemplated by our IPO prospectus and in accordance with our Charter and the Trust Agreement, we will</w:t>
      </w:r>
    </w:p>
    <w:p>
      <w:pPr>
        <w:jc w:val="both"/>
        <w:ind w:firstLine="8"/>
        <w:spacing w:after="0" w:line="251" w:lineRule="auto"/>
        <w:tabs>
          <w:tab w:leader="none" w:pos="218"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cease all operations except for the purpose of winding up, (ii) as promptly as reasonably possible but not more than ten business days thereafter, redeem 100% of the outstanding public shares of Class A common stock, at a per-share price, payable in cash, equal to the aggregate amount then on deposit in the trust account, including any interest not previously released to us (net of taxes payable), divided by the number of then outstanding public shares of Class A common stock, which redemption will completely extinguish public stockholders’ rights as stockholders (including the right to receive further liquidation distributions, if any), subject to applicable law, and (iii) as promptly as reasonably possible following such redemption, subject to the approval of our remaining stockholders and our board of directors, dissolve and liquidate, subject (in the case of (ii) and (iii) above) to our obligations under Delaware law to provide for claims of creditors and the requirements of other applicable law. In the event of a liquidation, our sponsor, Representative, our officers and directors and our other initial stockholders will not receive any monies held in the Trust Account as a result of their ownership of the Founder Shares, the Representative Shares or the Private Placement Shares.</w:t>
      </w:r>
    </w:p>
    <w:p>
      <w:pPr>
        <w:spacing w:after="0" w:line="193"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withdrawal of funds from the Trust Account in connection with the Election will reduce the amount held in the Trust Account following the Election. In such event, the Company may need to obtain additional funds to complete the Business Combination, and there can be no assurance that such funds will be available on terms acceptable to the parties or at all.</w:t>
      </w:r>
    </w:p>
    <w:p>
      <w:pPr>
        <w:spacing w:after="0" w:line="176"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Subject to the foregoing, the affirmative vote of at least 65% of the Company’s outstanding Common Stock, including the Founder Shares, the Private Placement Shares and the Representative Shares, will be required to approve the Charter Amendment Proposal and the Trust Amendment Proposal. The approval of the Charter Amendment Proposal and the Trust Amendment Proposal are essential to the implementation of our board’s plan to extend the date by which we must consummate our initial business combination. Therefore, our board will abandon and not implement the Charter Amendment Proposal unless our stockholders approve both the Charter Amendment Proposal and the Trust Amendment Proposal. This means that if one proposal is approved by the stockholders and the other proposal is not, neither proposal will take effect. Notwithstanding stockholder approval of the Charter Amendment Proposal and the Trust Amendment Proposal, our board will retain the right to abandon and not implement the Charter Amendment Proposal and the Trust Amendment Proposal at any time without any further action by our stockholders.</w:t>
      </w:r>
    </w:p>
    <w:p>
      <w:pPr>
        <w:spacing w:after="0" w:line="188"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18"/>
          <w:szCs w:val="18"/>
          <w:b w:val="1"/>
          <w:bCs w:val="1"/>
          <w:color w:val="auto"/>
        </w:rPr>
        <w:t>Our board has fixed the close of business on [●], 2022 as the date for determining the Company stockholders entitled to receive notice of and vote at the Special Meeting and any adjournment thereof. Only holders of record of the Company’s common stock on that date are entitled to have their votes counted at the Special Meeting or any adjournment thereof.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414020</wp:posOffset>
            </wp:positionV>
            <wp:extent cx="713232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6" w:name="page7"/>
    <w:bookmarkEnd w:id="6"/>
    <w:p>
      <w:pPr>
        <w:ind w:firstLine="648"/>
        <w:spacing w:after="0" w:line="286" w:lineRule="auto"/>
        <w:rPr>
          <w:sz w:val="20"/>
          <w:szCs w:val="20"/>
          <w:color w:val="auto"/>
        </w:rPr>
      </w:pPr>
      <w:r>
        <w:rPr>
          <w:rFonts w:ascii="Times New Roman" w:cs="Times New Roman" w:eastAsia="Times New Roman" w:hAnsi="Times New Roman"/>
          <w:sz w:val="18"/>
          <w:szCs w:val="18"/>
          <w:b w:val="1"/>
          <w:bCs w:val="1"/>
          <w:color w:val="auto"/>
        </w:rPr>
        <w:t>After careful consideration of all relevant factors, the board of directors has determined that each of the proposals are advisable and recommends that you vote or give instruction to vote “FOR” such proposals.</w:t>
      </w:r>
    </w:p>
    <w:p>
      <w:pPr>
        <w:spacing w:after="0" w:line="159"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Enclosed is the Proxy Statement containing detailed information concerning the Charter Amendment Proposal, the Trust Amendment Proposal and the Special Meeting. Whether or not you plan to attend the Special Meeting, we urge you to read this material carefully and vote your shares.</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Sincerely,</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Shahal Khan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356616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3566160" cy="8255"/>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Shahal Khan</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Chief Executive Officer</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445770</wp:posOffset>
            </wp:positionV>
            <wp:extent cx="713232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7" w:name="page8"/>
    <w:bookmarkEnd w:id="7"/>
    <w:p>
      <w:pPr>
        <w:jc w:val="center"/>
        <w:spacing w:after="0"/>
        <w:rPr>
          <w:sz w:val="20"/>
          <w:szCs w:val="20"/>
          <w:color w:val="auto"/>
        </w:rPr>
      </w:pPr>
      <w:r>
        <w:rPr>
          <w:rFonts w:ascii="Times New Roman" w:cs="Times New Roman" w:eastAsia="Times New Roman" w:hAnsi="Times New Roman"/>
          <w:sz w:val="18"/>
          <w:szCs w:val="18"/>
          <w:b w:val="1"/>
          <w:bCs w:val="1"/>
          <w:color w:val="auto"/>
        </w:rPr>
        <w:t>BURTECH ACQUISITION CORP.</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1300 Pennsylvania Ave NW, Suite 700</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Washington, DC 20004</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NOTICE OF SPECIAL MEETING OF STOCKHOLDERS TO BE HELD ON [●], 2022</w:t>
      </w:r>
    </w:p>
    <w:p>
      <w:pPr>
        <w:spacing w:after="0" w:line="20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 2022</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 the Stockholders of BurTech Acquisition Corp.:</w:t>
      </w:r>
    </w:p>
    <w:p>
      <w:pPr>
        <w:spacing w:after="0" w:line="221" w:lineRule="exact"/>
        <w:rPr>
          <w:sz w:val="20"/>
          <w:szCs w:val="20"/>
          <w:color w:val="auto"/>
        </w:rPr>
      </w:pPr>
    </w:p>
    <w:p>
      <w:pPr>
        <w:jc w:val="both"/>
        <w:ind w:right="20" w:firstLine="648"/>
        <w:spacing w:after="0" w:line="268" w:lineRule="auto"/>
        <w:rPr>
          <w:sz w:val="20"/>
          <w:szCs w:val="20"/>
          <w:color w:val="auto"/>
        </w:rPr>
      </w:pPr>
      <w:r>
        <w:rPr>
          <w:rFonts w:ascii="Times New Roman" w:cs="Times New Roman" w:eastAsia="Times New Roman" w:hAnsi="Times New Roman"/>
          <w:sz w:val="18"/>
          <w:szCs w:val="18"/>
          <w:color w:val="auto"/>
        </w:rPr>
        <w:t>NOTICE IS HEREBY GIVEN that a Special Meeting of Stockholders (the “</w:t>
      </w:r>
      <w:r>
        <w:rPr>
          <w:rFonts w:ascii="Times New Roman" w:cs="Times New Roman" w:eastAsia="Times New Roman" w:hAnsi="Times New Roman"/>
          <w:sz w:val="18"/>
          <w:szCs w:val="18"/>
          <w:b w:val="1"/>
          <w:bCs w:val="1"/>
          <w:u w:val="single" w:color="auto"/>
          <w:color w:val="auto"/>
        </w:rPr>
        <w:t>Special Meeting</w:t>
      </w:r>
      <w:r>
        <w:rPr>
          <w:rFonts w:ascii="Times New Roman" w:cs="Times New Roman" w:eastAsia="Times New Roman" w:hAnsi="Times New Roman"/>
          <w:sz w:val="18"/>
          <w:szCs w:val="18"/>
          <w:color w:val="auto"/>
        </w:rPr>
        <w:t>”) of BurTech Acquisition Corp. (“</w:t>
      </w:r>
      <w:r>
        <w:rPr>
          <w:rFonts w:ascii="Times New Roman" w:cs="Times New Roman" w:eastAsia="Times New Roman" w:hAnsi="Times New Roman"/>
          <w:sz w:val="18"/>
          <w:szCs w:val="18"/>
          <w:b w:val="1"/>
          <w:bCs w:val="1"/>
          <w:u w:val="single" w:color="auto"/>
          <w:color w:val="auto"/>
        </w:rPr>
        <w:t>BurTech</w:t>
      </w:r>
      <w:r>
        <w:rPr>
          <w:rFonts w:ascii="Times New Roman" w:cs="Times New Roman" w:eastAsia="Times New Roman" w:hAnsi="Times New Roman"/>
          <w:sz w:val="18"/>
          <w:szCs w:val="18"/>
          <w:color w:val="auto"/>
        </w:rPr>
        <w:t>”), a Delaware corporation, will be held on [●], 2022, at 10:00 a.m. Eastern Time. Due to the COVID-19 pandemic, the Company will be holding the Special Meeting via teleconference using the following dial-in information:</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9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US Toll Free</w:t>
            </w:r>
          </w:p>
        </w:tc>
        <w:tc>
          <w:tcPr>
            <w:tcW w:w="2060" w:type="dxa"/>
            <w:vAlign w:val="bottom"/>
            <w:shd w:val="clear" w:color="auto" w:fill="CCEEFF"/>
          </w:tcPr>
          <w:p>
            <w:pPr>
              <w:ind w:left="172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9180" w:type="dxa"/>
            <w:vAlign w:val="bottom"/>
          </w:tcPr>
          <w:p>
            <w:pPr>
              <w:spacing w:after="0"/>
              <w:rPr>
                <w:sz w:val="20"/>
                <w:szCs w:val="20"/>
                <w:color w:val="auto"/>
              </w:rPr>
            </w:pPr>
            <w:r>
              <w:rPr>
                <w:rFonts w:ascii="Times New Roman" w:cs="Times New Roman" w:eastAsia="Times New Roman" w:hAnsi="Times New Roman"/>
                <w:sz w:val="18"/>
                <w:szCs w:val="18"/>
                <w:color w:val="auto"/>
              </w:rPr>
              <w:t>International Toll</w:t>
            </w:r>
          </w:p>
        </w:tc>
        <w:tc>
          <w:tcPr>
            <w:tcW w:w="2060" w:type="dxa"/>
            <w:vAlign w:val="bottom"/>
          </w:tcPr>
          <w:p>
            <w:pPr>
              <w:ind w:left="172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9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Participant Passcode</w:t>
            </w:r>
          </w:p>
        </w:tc>
        <w:tc>
          <w:tcPr>
            <w:tcW w:w="2060" w:type="dxa"/>
            <w:vAlign w:val="bottom"/>
            <w:shd w:val="clear" w:color="auto" w:fill="CCEEFF"/>
          </w:tcPr>
          <w:p>
            <w:pPr>
              <w:ind w:left="1720"/>
              <w:spacing w:after="0"/>
              <w:rPr>
                <w:sz w:val="20"/>
                <w:szCs w:val="20"/>
                <w:color w:val="auto"/>
              </w:rPr>
            </w:pPr>
            <w:r>
              <w:rPr>
                <w:rFonts w:ascii="Times New Roman" w:cs="Times New Roman" w:eastAsia="Times New Roman" w:hAnsi="Times New Roman"/>
                <w:sz w:val="18"/>
                <w:szCs w:val="18"/>
                <w:color w:val="auto"/>
              </w:rPr>
              <w:t>[●]</w:t>
            </w:r>
          </w:p>
        </w:tc>
      </w:tr>
      <w:tr>
        <w:trPr>
          <w:trHeight w:val="432"/>
        </w:trPr>
        <w:tc>
          <w:tcPr>
            <w:tcW w:w="918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The purpose of the Special Meeting will be to consider and vote upon the following proposals:</w:t>
            </w:r>
          </w:p>
        </w:tc>
        <w:tc>
          <w:tcPr>
            <w:tcW w:w="2060" w:type="dxa"/>
            <w:vAlign w:val="bottom"/>
          </w:tcPr>
          <w:p>
            <w:pPr>
              <w:spacing w:after="0"/>
              <w:rPr>
                <w:sz w:val="24"/>
                <w:szCs w:val="24"/>
                <w:color w:val="auto"/>
              </w:rPr>
            </w:pPr>
          </w:p>
        </w:tc>
      </w:tr>
    </w:tbl>
    <w:p>
      <w:pPr>
        <w:spacing w:after="0" w:line="194" w:lineRule="exact"/>
        <w:rPr>
          <w:sz w:val="20"/>
          <w:szCs w:val="20"/>
          <w:color w:val="auto"/>
        </w:rPr>
      </w:pPr>
    </w:p>
    <w:p>
      <w:pPr>
        <w:jc w:val="both"/>
        <w:ind w:firstLine="656"/>
        <w:spacing w:after="0" w:line="262" w:lineRule="auto"/>
        <w:tabs>
          <w:tab w:leader="none" w:pos="833"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proposal to amend BurTech’s second amended and restated certificate of incorporation (the “</w:t>
      </w:r>
      <w:r>
        <w:rPr>
          <w:rFonts w:ascii="Times New Roman" w:cs="Times New Roman" w:eastAsia="Times New Roman" w:hAnsi="Times New Roman"/>
          <w:sz w:val="18"/>
          <w:szCs w:val="18"/>
          <w:b w:val="1"/>
          <w:bCs w:val="1"/>
          <w:u w:val="single" w:color="auto"/>
          <w:color w:val="auto"/>
        </w:rPr>
        <w:t>Charter</w:t>
      </w:r>
      <w:r>
        <w:rPr>
          <w:rFonts w:ascii="Times New Roman" w:cs="Times New Roman" w:eastAsia="Times New Roman" w:hAnsi="Times New Roman"/>
          <w:sz w:val="18"/>
          <w:szCs w:val="18"/>
          <w:color w:val="auto"/>
        </w:rPr>
        <w:t>”), to extend the date by which BurTech has to consummate a business combination on a month-to-month basis up to six (6) times (the “</w:t>
      </w:r>
      <w:r>
        <w:rPr>
          <w:rFonts w:ascii="Times New Roman" w:cs="Times New Roman" w:eastAsia="Times New Roman" w:hAnsi="Times New Roman"/>
          <w:sz w:val="18"/>
          <w:szCs w:val="18"/>
          <w:b w:val="1"/>
          <w:bCs w:val="1"/>
          <w:u w:val="single" w:color="auto"/>
          <w:color w:val="auto"/>
        </w:rPr>
        <w:t>Charter Amendment</w:t>
      </w:r>
      <w:r>
        <w:rPr>
          <w:rFonts w:ascii="Times New Roman" w:cs="Times New Roman" w:eastAsia="Times New Roman" w:hAnsi="Times New Roman"/>
          <w:sz w:val="18"/>
          <w:szCs w:val="18"/>
          <w:color w:val="auto"/>
        </w:rPr>
        <w:t>”), each such extension for an additional one (1) month period (each an “</w:t>
      </w:r>
      <w:r>
        <w:rPr>
          <w:rFonts w:ascii="Times New Roman" w:cs="Times New Roman" w:eastAsia="Times New Roman" w:hAnsi="Times New Roman"/>
          <w:sz w:val="18"/>
          <w:szCs w:val="18"/>
          <w:b w:val="1"/>
          <w:bCs w:val="1"/>
          <w:u w:val="single" w:color="auto"/>
          <w:color w:val="auto"/>
        </w:rPr>
        <w:t>Extension</w:t>
      </w:r>
      <w:r>
        <w:rPr>
          <w:rFonts w:ascii="Times New Roman" w:cs="Times New Roman" w:eastAsia="Times New Roman" w:hAnsi="Times New Roman"/>
          <w:sz w:val="18"/>
          <w:szCs w:val="18"/>
          <w:color w:val="auto"/>
        </w:rPr>
        <w:t>”) from March 15, 2023 to September 15, 2023 (the latest such date actually extended being referred to as the “</w:t>
      </w:r>
      <w:r>
        <w:rPr>
          <w:rFonts w:ascii="Times New Roman" w:cs="Times New Roman" w:eastAsia="Times New Roman" w:hAnsi="Times New Roman"/>
          <w:sz w:val="18"/>
          <w:szCs w:val="18"/>
          <w:b w:val="1"/>
          <w:bCs w:val="1"/>
          <w:u w:val="single" w:color="auto"/>
          <w:color w:val="auto"/>
        </w:rPr>
        <w:t>Extended Termination Date</w:t>
      </w:r>
      <w:r>
        <w:rPr>
          <w:rFonts w:ascii="Times New Roman" w:cs="Times New Roman" w:eastAsia="Times New Roman" w:hAnsi="Times New Roman"/>
          <w:sz w:val="18"/>
          <w:szCs w:val="18"/>
          <w:color w:val="auto"/>
        </w:rPr>
        <w:t>”) (we refer to this proposal as the “</w:t>
      </w:r>
      <w:r>
        <w:rPr>
          <w:rFonts w:ascii="Times New Roman" w:cs="Times New Roman" w:eastAsia="Times New Roman" w:hAnsi="Times New Roman"/>
          <w:sz w:val="18"/>
          <w:szCs w:val="18"/>
          <w:b w:val="1"/>
          <w:bCs w:val="1"/>
          <w:u w:val="single" w:color="auto"/>
          <w:color w:val="auto"/>
        </w:rPr>
        <w:t>Charter Amendment Proposal</w:t>
      </w:r>
      <w:r>
        <w:rPr>
          <w:rFonts w:ascii="Times New Roman" w:cs="Times New Roman" w:eastAsia="Times New Roman" w:hAnsi="Times New Roman"/>
          <w:sz w:val="18"/>
          <w:szCs w:val="18"/>
          <w:color w:val="auto"/>
        </w:rPr>
        <w:t>”);</w:t>
      </w:r>
    </w:p>
    <w:p>
      <w:pPr>
        <w:spacing w:after="0" w:line="176" w:lineRule="exact"/>
        <w:rPr>
          <w:rFonts w:ascii="Times New Roman" w:cs="Times New Roman" w:eastAsia="Times New Roman" w:hAnsi="Times New Roman"/>
          <w:sz w:val="18"/>
          <w:szCs w:val="18"/>
          <w:color w:val="auto"/>
        </w:rPr>
      </w:pPr>
    </w:p>
    <w:p>
      <w:pPr>
        <w:jc w:val="both"/>
        <w:ind w:firstLine="656"/>
        <w:spacing w:after="0" w:line="259" w:lineRule="auto"/>
        <w:tabs>
          <w:tab w:leader="none" w:pos="849"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proposal to amend BurTech’s investment management trust agreement, dated as of December 10, 2021 (the “</w:t>
      </w:r>
      <w:r>
        <w:rPr>
          <w:rFonts w:ascii="Times New Roman" w:cs="Times New Roman" w:eastAsia="Times New Roman" w:hAnsi="Times New Roman"/>
          <w:sz w:val="18"/>
          <w:szCs w:val="18"/>
          <w:b w:val="1"/>
          <w:bCs w:val="1"/>
          <w:u w:val="single" w:color="auto"/>
          <w:color w:val="auto"/>
        </w:rPr>
        <w:t>Trust Agreement</w:t>
      </w:r>
      <w:r>
        <w:rPr>
          <w:rFonts w:ascii="Times New Roman" w:cs="Times New Roman" w:eastAsia="Times New Roman" w:hAnsi="Times New Roman"/>
          <w:sz w:val="18"/>
          <w:szCs w:val="18"/>
          <w:color w:val="auto"/>
        </w:rPr>
        <w:t>”), by and between the Company and Continental Stock Transfer &amp; Trust Company (the “</w:t>
      </w:r>
      <w:r>
        <w:rPr>
          <w:rFonts w:ascii="Times New Roman" w:cs="Times New Roman" w:eastAsia="Times New Roman" w:hAnsi="Times New Roman"/>
          <w:sz w:val="18"/>
          <w:szCs w:val="18"/>
          <w:b w:val="1"/>
          <w:bCs w:val="1"/>
          <w:u w:val="single" w:color="auto"/>
          <w:color w:val="auto"/>
        </w:rPr>
        <w:t>Trustee</w:t>
      </w:r>
      <w:r>
        <w:rPr>
          <w:rFonts w:ascii="Times New Roman" w:cs="Times New Roman" w:eastAsia="Times New Roman" w:hAnsi="Times New Roman"/>
          <w:sz w:val="18"/>
          <w:szCs w:val="18"/>
          <w:color w:val="auto"/>
        </w:rPr>
        <w:t>”), allowing the Company to extend the Extended Termination Date from March 15, 2023 up to six (6) times, each such Extension for an additional one (1) month period, until September 15, 2023, by depositing into the Trust Account $[337,500] (the “</w:t>
      </w:r>
      <w:r>
        <w:rPr>
          <w:rFonts w:ascii="Times New Roman" w:cs="Times New Roman" w:eastAsia="Times New Roman" w:hAnsi="Times New Roman"/>
          <w:sz w:val="18"/>
          <w:szCs w:val="18"/>
          <w:b w:val="1"/>
          <w:bCs w:val="1"/>
          <w:u w:val="single" w:color="auto"/>
          <w:color w:val="auto"/>
        </w:rPr>
        <w:t>Extension Payment</w:t>
      </w:r>
      <w:r>
        <w:rPr>
          <w:rFonts w:ascii="Times New Roman" w:cs="Times New Roman" w:eastAsia="Times New Roman" w:hAnsi="Times New Roman"/>
          <w:sz w:val="18"/>
          <w:szCs w:val="18"/>
          <w:color w:val="auto"/>
        </w:rPr>
        <w:t>”) for each one-month Extension (or up to an aggregate of $[2,025,000] for the total six-month period) (the “</w:t>
      </w:r>
      <w:r>
        <w:rPr>
          <w:rFonts w:ascii="Times New Roman" w:cs="Times New Roman" w:eastAsia="Times New Roman" w:hAnsi="Times New Roman"/>
          <w:sz w:val="18"/>
          <w:szCs w:val="18"/>
          <w:b w:val="1"/>
          <w:bCs w:val="1"/>
          <w:u w:val="single" w:color="auto"/>
          <w:color w:val="auto"/>
        </w:rPr>
        <w:t>Trust Amendment</w:t>
      </w:r>
      <w:r>
        <w:rPr>
          <w:rFonts w:ascii="Times New Roman" w:cs="Times New Roman" w:eastAsia="Times New Roman" w:hAnsi="Times New Roman"/>
          <w:sz w:val="18"/>
          <w:szCs w:val="18"/>
          <w:color w:val="auto"/>
        </w:rPr>
        <w:t>”), (we refer to this proposal as the “</w:t>
      </w:r>
      <w:r>
        <w:rPr>
          <w:rFonts w:ascii="Times New Roman" w:cs="Times New Roman" w:eastAsia="Times New Roman" w:hAnsi="Times New Roman"/>
          <w:sz w:val="18"/>
          <w:szCs w:val="18"/>
          <w:b w:val="1"/>
          <w:bCs w:val="1"/>
          <w:u w:val="single" w:color="auto"/>
          <w:color w:val="auto"/>
        </w:rPr>
        <w:t>Trust Amendment Proposal</w:t>
      </w:r>
      <w:r>
        <w:rPr>
          <w:rFonts w:ascii="Times New Roman" w:cs="Times New Roman" w:eastAsia="Times New Roman" w:hAnsi="Times New Roman"/>
          <w:sz w:val="18"/>
          <w:szCs w:val="18"/>
          <w:color w:val="auto"/>
        </w:rPr>
        <w:t>”); and</w:t>
      </w:r>
    </w:p>
    <w:p>
      <w:pPr>
        <w:spacing w:after="0" w:line="183" w:lineRule="exact"/>
        <w:rPr>
          <w:rFonts w:ascii="Times New Roman" w:cs="Times New Roman" w:eastAsia="Times New Roman" w:hAnsi="Times New Roman"/>
          <w:sz w:val="18"/>
          <w:szCs w:val="18"/>
          <w:color w:val="auto"/>
        </w:rPr>
      </w:pPr>
    </w:p>
    <w:p>
      <w:pPr>
        <w:jc w:val="both"/>
        <w:ind w:firstLine="656"/>
        <w:spacing w:after="0" w:line="266" w:lineRule="auto"/>
        <w:tabs>
          <w:tab w:leader="none" w:pos="838"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proposal to direct the chairman of the Special Meeting to adjourn the Special Meeting to a later date or dates, if necessary, to permit further solicitation and vote of proxies if, based upon the tabulated vote at the time of the Special Meeting, there are not sufficient votes to approve the foregoing proposal (we refer to this proposal as the “</w:t>
      </w:r>
      <w:r>
        <w:rPr>
          <w:rFonts w:ascii="Times New Roman" w:cs="Times New Roman" w:eastAsia="Times New Roman" w:hAnsi="Times New Roman"/>
          <w:sz w:val="18"/>
          <w:szCs w:val="18"/>
          <w:b w:val="1"/>
          <w:bCs w:val="1"/>
          <w:u w:val="single" w:color="auto"/>
          <w:color w:val="auto"/>
        </w:rPr>
        <w:t>Adjournment Proposal</w:t>
      </w:r>
      <w:r>
        <w:rPr>
          <w:rFonts w:ascii="Times New Roman" w:cs="Times New Roman" w:eastAsia="Times New Roman" w:hAnsi="Times New Roman"/>
          <w:sz w:val="18"/>
          <w:szCs w:val="18"/>
          <w:color w:val="auto"/>
        </w:rPr>
        <w:t>”); and</w:t>
      </w:r>
    </w:p>
    <w:p>
      <w:pPr>
        <w:spacing w:after="0" w:line="175" w:lineRule="exact"/>
        <w:rPr>
          <w:rFonts w:ascii="Times New Roman" w:cs="Times New Roman" w:eastAsia="Times New Roman" w:hAnsi="Times New Roman"/>
          <w:sz w:val="18"/>
          <w:szCs w:val="18"/>
          <w:color w:val="auto"/>
        </w:rPr>
      </w:pPr>
    </w:p>
    <w:p>
      <w:pPr>
        <w:ind w:left="840" w:hanging="184"/>
        <w:spacing w:after="0"/>
        <w:tabs>
          <w:tab w:leader="none" w:pos="84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act on such other matters as may properly come before the Special Meeting or any adjournment or adjournments thereof.</w:t>
      </w:r>
    </w:p>
    <w:p>
      <w:pPr>
        <w:spacing w:after="0" w:line="225" w:lineRule="exact"/>
        <w:rPr>
          <w:sz w:val="20"/>
          <w:szCs w:val="20"/>
          <w:color w:val="auto"/>
        </w:rPr>
      </w:pPr>
    </w:p>
    <w:p>
      <w:pPr>
        <w:ind w:right="20" w:firstLine="648"/>
        <w:spacing w:after="0" w:line="282" w:lineRule="auto"/>
        <w:rPr>
          <w:sz w:val="20"/>
          <w:szCs w:val="20"/>
          <w:color w:val="auto"/>
        </w:rPr>
      </w:pPr>
      <w:r>
        <w:rPr>
          <w:rFonts w:ascii="Times New Roman" w:cs="Times New Roman" w:eastAsia="Times New Roman" w:hAnsi="Times New Roman"/>
          <w:sz w:val="18"/>
          <w:szCs w:val="18"/>
          <w:color w:val="auto"/>
        </w:rPr>
        <w:t>The Board of Directors has fixed the close of business on [●], 2022 as the record date for the Special Meeting and only holders of shares of record at that time will be entitled to notice of and to vote at the Special Meeting or any adjournment or adjournments thereof.</w:t>
      </w:r>
    </w:p>
    <w:p>
      <w:pPr>
        <w:spacing w:after="0" w:line="162"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By Order of the Board of Directors</w:t>
      </w:r>
    </w:p>
    <w:p>
      <w:pPr>
        <w:spacing w:after="0" w:line="225"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/s/Shahal Khan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4291330</wp:posOffset>
            </wp:positionH>
            <wp:positionV relativeFrom="paragraph">
              <wp:posOffset>17145</wp:posOffset>
            </wp:positionV>
            <wp:extent cx="284607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2846070" cy="8890"/>
                    </a:xfrm>
                    <a:prstGeom prst="rect">
                      <a:avLst/>
                    </a:prstGeom>
                    <a:noFill/>
                  </pic:spPr>
                </pic:pic>
              </a:graphicData>
            </a:graphic>
          </wp:anchor>
        </w:drawing>
      </w:r>
    </w:p>
    <w:p>
      <w:pPr>
        <w:spacing w:after="0" w:line="7"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Chief Executive Officer</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New York, New York</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434340</wp:posOffset>
            </wp:positionV>
            <wp:extent cx="7132320"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8" w:name="page9"/>
    <w:bookmarkEnd w:id="8"/>
    <w:p>
      <w:pPr>
        <w:jc w:val="center"/>
        <w:ind w:right="-19"/>
        <w:spacing w:after="0"/>
        <w:rPr>
          <w:sz w:val="20"/>
          <w:szCs w:val="20"/>
          <w:color w:val="auto"/>
        </w:rPr>
      </w:pPr>
      <w:r>
        <w:rPr>
          <w:rFonts w:ascii="Times New Roman" w:cs="Times New Roman" w:eastAsia="Times New Roman" w:hAnsi="Times New Roman"/>
          <w:sz w:val="18"/>
          <w:szCs w:val="18"/>
          <w:b w:val="1"/>
          <w:bCs w:val="1"/>
          <w:u w:val="single" w:color="auto"/>
          <w:color w:val="auto"/>
        </w:rPr>
        <w:t>IMPORTANT</w:t>
      </w:r>
    </w:p>
    <w:p>
      <w:pPr>
        <w:spacing w:after="0" w:line="225"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color w:val="auto"/>
        </w:rPr>
        <w:t>IF YOU CANNOT PERSONALLY ATTEND THE SPECIAL MEETING, IT IS REQUESTED THAT YOU INDICATE YOUR VOTE ON THE ISSUES INCLUDED ON THE ENCLOSED PROXY AND DATE, SIGN AND MAIL IT IN THE ENCLOSED SELF-ADDRESSED ENVELOPE WHICH REQUIRES NO POSTAGE IF MAILED IN THE UNITED STATES OF AMERICA.</w:t>
      </w:r>
    </w:p>
    <w:p>
      <w:pPr>
        <w:spacing w:after="0" w:line="171"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color w:val="auto"/>
        </w:rPr>
        <w:t>IMPORTANT NOTICE REGARDING THE AVAILABILITY OF PROXY MATERIALS FOR THE SPECIAL MEETING OF STOCKHOLDERS TO BE HELD ON [●], 2022. THIS PROXY STATEMENT TO THE STOCKHOLDERS WILL BE AVAILABLE AT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403860</wp:posOffset>
            </wp:positionV>
            <wp:extent cx="713232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9" w:name="page10"/>
    <w:bookmarkEnd w:id="9"/>
    <w:p>
      <w:pPr>
        <w:jc w:val="center"/>
        <w:spacing w:after="0"/>
        <w:rPr>
          <w:sz w:val="20"/>
          <w:szCs w:val="20"/>
          <w:color w:val="auto"/>
        </w:rPr>
      </w:pPr>
      <w:r>
        <w:rPr>
          <w:rFonts w:ascii="Times New Roman" w:cs="Times New Roman" w:eastAsia="Times New Roman" w:hAnsi="Times New Roman"/>
          <w:sz w:val="18"/>
          <w:szCs w:val="18"/>
          <w:b w:val="1"/>
          <w:bCs w:val="1"/>
          <w:color w:val="auto"/>
        </w:rPr>
        <w:t>BURTECH ACQUISITION CORP.</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1300 Pennsylvania Ave NW, Suite 700</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Washington, DC 20004</w:t>
      </w: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PRELIMINARY PROXY STATEMENT</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SPECIAL MEETING OF STOCKHOLDERS</w:t>
      </w: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TO BE HELD [●], 2022</w:t>
      </w:r>
    </w:p>
    <w:p>
      <w:pPr>
        <w:spacing w:after="0" w:line="31"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FIRST MAILED ON OR ABOUT [●], 2022</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Date, Time and Place of the Special Meeting</w:t>
      </w:r>
    </w:p>
    <w:p>
      <w:pPr>
        <w:spacing w:after="0" w:line="225" w:lineRule="exact"/>
        <w:rPr>
          <w:sz w:val="20"/>
          <w:szCs w:val="20"/>
          <w:color w:val="auto"/>
        </w:rPr>
      </w:pPr>
    </w:p>
    <w:p>
      <w:pPr>
        <w:jc w:val="both"/>
        <w:ind w:firstLine="648"/>
        <w:spacing w:after="0" w:line="262" w:lineRule="auto"/>
        <w:rPr>
          <w:sz w:val="20"/>
          <w:szCs w:val="20"/>
          <w:color w:val="auto"/>
        </w:rPr>
      </w:pPr>
      <w:r>
        <w:rPr>
          <w:rFonts w:ascii="Times New Roman" w:cs="Times New Roman" w:eastAsia="Times New Roman" w:hAnsi="Times New Roman"/>
          <w:sz w:val="18"/>
          <w:szCs w:val="18"/>
          <w:color w:val="auto"/>
        </w:rPr>
        <w:t>The enclosed proxy is solicited by the Board of Directors (the “</w:t>
      </w:r>
      <w:r>
        <w:rPr>
          <w:rFonts w:ascii="Times New Roman" w:cs="Times New Roman" w:eastAsia="Times New Roman" w:hAnsi="Times New Roman"/>
          <w:sz w:val="18"/>
          <w:szCs w:val="18"/>
          <w:b w:val="1"/>
          <w:bCs w:val="1"/>
          <w:u w:val="single" w:color="auto"/>
          <w:color w:val="auto"/>
        </w:rPr>
        <w:t>Board</w:t>
      </w:r>
      <w:r>
        <w:rPr>
          <w:rFonts w:ascii="Times New Roman" w:cs="Times New Roman" w:eastAsia="Times New Roman" w:hAnsi="Times New Roman"/>
          <w:sz w:val="18"/>
          <w:szCs w:val="18"/>
          <w:color w:val="auto"/>
        </w:rPr>
        <w:t>”) of BurTech Acquisition Corp. (“</w:t>
      </w:r>
      <w:r>
        <w:rPr>
          <w:rFonts w:ascii="Times New Roman" w:cs="Times New Roman" w:eastAsia="Times New Roman" w:hAnsi="Times New Roman"/>
          <w:sz w:val="18"/>
          <w:szCs w:val="18"/>
          <w:b w:val="1"/>
          <w:bCs w:val="1"/>
          <w:u w:val="single" w:color="auto"/>
          <w:color w:val="auto"/>
        </w:rPr>
        <w:t>the Company</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u w:val="single" w:color="auto"/>
          <w:color w:val="auto"/>
        </w:rPr>
        <w:t>BurTech</w:t>
      </w:r>
      <w:r>
        <w:rPr>
          <w:rFonts w:ascii="Times New Roman" w:cs="Times New Roman" w:eastAsia="Times New Roman" w:hAnsi="Times New Roman"/>
          <w:sz w:val="18"/>
          <w:szCs w:val="18"/>
          <w:color w:val="auto"/>
        </w:rPr>
        <w:t>” or “</w:t>
      </w:r>
      <w:r>
        <w:rPr>
          <w:rFonts w:ascii="Times New Roman" w:cs="Times New Roman" w:eastAsia="Times New Roman" w:hAnsi="Times New Roman"/>
          <w:sz w:val="18"/>
          <w:szCs w:val="18"/>
          <w:b w:val="1"/>
          <w:bCs w:val="1"/>
          <w:u w:val="single" w:color="auto"/>
          <w:color w:val="auto"/>
        </w:rPr>
        <w:t>we</w:t>
      </w:r>
      <w:r>
        <w:rPr>
          <w:rFonts w:ascii="Times New Roman" w:cs="Times New Roman" w:eastAsia="Times New Roman" w:hAnsi="Times New Roman"/>
          <w:sz w:val="18"/>
          <w:szCs w:val="18"/>
          <w:color w:val="auto"/>
        </w:rPr>
        <w:t>”), a Delaware corporation, in connection with the Special Meeting of Stockholders to be held on [●], 2022 at 10:00 a.m. Eastern time for the purposes set forth in the accompanying Notice of Meeting. Due to the COVID-19 pandemic, BurTech will be holding the Special Meeting, and any adjournments thereof, via teleconference using the following dial-in information:</w:t>
      </w:r>
    </w:p>
    <w:p>
      <w:pPr>
        <w:spacing w:after="0" w:line="199"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US Toll Free</w:t>
            </w:r>
          </w:p>
        </w:tc>
        <w:tc>
          <w:tcPr>
            <w:tcW w:w="5040" w:type="dxa"/>
            <w:vAlign w:val="bottom"/>
            <w:shd w:val="clear" w:color="auto" w:fill="CCEEFF"/>
          </w:tcPr>
          <w:p>
            <w:pPr>
              <w:ind w:left="47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6200" w:type="dxa"/>
            <w:vAlign w:val="bottom"/>
          </w:tcPr>
          <w:p>
            <w:pPr>
              <w:spacing w:after="0"/>
              <w:rPr>
                <w:sz w:val="20"/>
                <w:szCs w:val="20"/>
                <w:color w:val="auto"/>
              </w:rPr>
            </w:pPr>
            <w:r>
              <w:rPr>
                <w:rFonts w:ascii="Times New Roman" w:cs="Times New Roman" w:eastAsia="Times New Roman" w:hAnsi="Times New Roman"/>
                <w:sz w:val="18"/>
                <w:szCs w:val="18"/>
                <w:color w:val="auto"/>
              </w:rPr>
              <w:t>International Toll</w:t>
            </w:r>
          </w:p>
        </w:tc>
        <w:tc>
          <w:tcPr>
            <w:tcW w:w="5040" w:type="dxa"/>
            <w:vAlign w:val="bottom"/>
          </w:tcPr>
          <w:p>
            <w:pPr>
              <w:ind w:left="47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6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Participant Passcode</w:t>
            </w:r>
          </w:p>
        </w:tc>
        <w:tc>
          <w:tcPr>
            <w:tcW w:w="5040" w:type="dxa"/>
            <w:vAlign w:val="bottom"/>
            <w:shd w:val="clear" w:color="auto" w:fill="CCEEFF"/>
          </w:tcPr>
          <w:p>
            <w:pPr>
              <w:ind w:left="4700"/>
              <w:spacing w:after="0"/>
              <w:rPr>
                <w:sz w:val="20"/>
                <w:szCs w:val="20"/>
                <w:color w:val="auto"/>
              </w:rPr>
            </w:pPr>
            <w:r>
              <w:rPr>
                <w:rFonts w:ascii="Times New Roman" w:cs="Times New Roman" w:eastAsia="Times New Roman" w:hAnsi="Times New Roman"/>
                <w:sz w:val="18"/>
                <w:szCs w:val="18"/>
                <w:color w:val="auto"/>
              </w:rPr>
              <w:t>[●]</w:t>
            </w:r>
          </w:p>
        </w:tc>
      </w:tr>
    </w:tbl>
    <w:p>
      <w:pPr>
        <w:spacing w:after="0" w:line="198"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The principal executive office of the Company is 1300 Pennsylvania Ave NW, Suite 700, Washington, DC 20004, and its telephone number, including area code, is (202) 600-5757.</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Purpose of the Special Meeting</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At the Special Meeting, you will be asked to consider and vote upon the following matters:</w:t>
      </w:r>
    </w:p>
    <w:p>
      <w:pPr>
        <w:spacing w:after="0" w:line="221" w:lineRule="exact"/>
        <w:rPr>
          <w:sz w:val="20"/>
          <w:szCs w:val="20"/>
          <w:color w:val="auto"/>
        </w:rPr>
      </w:pPr>
    </w:p>
    <w:p>
      <w:pPr>
        <w:jc w:val="both"/>
        <w:ind w:left="980" w:hanging="324"/>
        <w:spacing w:after="0" w:line="262" w:lineRule="auto"/>
        <w:tabs>
          <w:tab w:leader="none" w:pos="9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Proposal 1 - A proposal to amend BurTech’s second amended and restated certificate of incorporation (the “</w:t>
      </w:r>
      <w:r>
        <w:rPr>
          <w:rFonts w:ascii="Times New Roman" w:cs="Times New Roman" w:eastAsia="Times New Roman" w:hAnsi="Times New Roman"/>
          <w:sz w:val="18"/>
          <w:szCs w:val="18"/>
          <w:b w:val="1"/>
          <w:bCs w:val="1"/>
          <w:u w:val="single" w:color="auto"/>
          <w:color w:val="auto"/>
        </w:rPr>
        <w:t>Charter</w:t>
      </w:r>
      <w:r>
        <w:rPr>
          <w:rFonts w:ascii="Times New Roman" w:cs="Times New Roman" w:eastAsia="Times New Roman" w:hAnsi="Times New Roman"/>
          <w:sz w:val="18"/>
          <w:szCs w:val="18"/>
          <w:color w:val="auto"/>
        </w:rPr>
        <w:t>”), to extend the date by which BurTech has to consummate a business combination up to six (6) times on a month-to-month basis, each such extension for a one-month period (each an “</w:t>
      </w:r>
      <w:r>
        <w:rPr>
          <w:rFonts w:ascii="Times New Roman" w:cs="Times New Roman" w:eastAsia="Times New Roman" w:hAnsi="Times New Roman"/>
          <w:sz w:val="18"/>
          <w:szCs w:val="18"/>
          <w:b w:val="1"/>
          <w:bCs w:val="1"/>
          <w:u w:val="single" w:color="auto"/>
          <w:color w:val="auto"/>
        </w:rPr>
        <w:t>Extension</w:t>
      </w:r>
      <w:r>
        <w:rPr>
          <w:rFonts w:ascii="Times New Roman" w:cs="Times New Roman" w:eastAsia="Times New Roman" w:hAnsi="Times New Roman"/>
          <w:sz w:val="18"/>
          <w:szCs w:val="18"/>
          <w:color w:val="auto"/>
        </w:rPr>
        <w:t>”) from March 15, 2023 until September 15, 2023 (the latest such date actually extended being referred to as the “</w:t>
      </w:r>
      <w:r>
        <w:rPr>
          <w:rFonts w:ascii="Times New Roman" w:cs="Times New Roman" w:eastAsia="Times New Roman" w:hAnsi="Times New Roman"/>
          <w:sz w:val="18"/>
          <w:szCs w:val="18"/>
          <w:b w:val="1"/>
          <w:bCs w:val="1"/>
          <w:u w:val="single" w:color="auto"/>
          <w:color w:val="auto"/>
        </w:rPr>
        <w:t>Extended Termination Date</w:t>
      </w:r>
      <w:r>
        <w:rPr>
          <w:rFonts w:ascii="Times New Roman" w:cs="Times New Roman" w:eastAsia="Times New Roman" w:hAnsi="Times New Roman"/>
          <w:sz w:val="18"/>
          <w:szCs w:val="18"/>
          <w:color w:val="auto"/>
        </w:rPr>
        <w:t>”) (we refer to this proposal as the “</w:t>
      </w:r>
      <w:r>
        <w:rPr>
          <w:rFonts w:ascii="Times New Roman" w:cs="Times New Roman" w:eastAsia="Times New Roman" w:hAnsi="Times New Roman"/>
          <w:sz w:val="18"/>
          <w:szCs w:val="18"/>
          <w:b w:val="1"/>
          <w:bCs w:val="1"/>
          <w:u w:val="single" w:color="auto"/>
          <w:color w:val="auto"/>
        </w:rPr>
        <w:t>Charter Amendment Proposal</w:t>
      </w:r>
      <w:r>
        <w:rPr>
          <w:rFonts w:ascii="Times New Roman" w:cs="Times New Roman" w:eastAsia="Times New Roman" w:hAnsi="Times New Roman"/>
          <w:sz w:val="18"/>
          <w:szCs w:val="18"/>
          <w:color w:val="auto"/>
        </w:rPr>
        <w:t>”);</w:t>
      </w:r>
    </w:p>
    <w:p>
      <w:pPr>
        <w:spacing w:after="0" w:line="176" w:lineRule="exact"/>
        <w:rPr>
          <w:rFonts w:ascii="Times New Roman" w:cs="Times New Roman" w:eastAsia="Times New Roman" w:hAnsi="Times New Roman"/>
          <w:sz w:val="18"/>
          <w:szCs w:val="18"/>
          <w:color w:val="auto"/>
        </w:rPr>
      </w:pPr>
    </w:p>
    <w:p>
      <w:pPr>
        <w:jc w:val="both"/>
        <w:ind w:left="980" w:hanging="324"/>
        <w:spacing w:after="0" w:line="259" w:lineRule="auto"/>
        <w:tabs>
          <w:tab w:leader="none" w:pos="9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Proposal 2 - A proposal to amend BurTech’s investment management trust agreement, dated as of December 10, 2022 (the “</w:t>
      </w:r>
      <w:r>
        <w:rPr>
          <w:rFonts w:ascii="Times New Roman" w:cs="Times New Roman" w:eastAsia="Times New Roman" w:hAnsi="Times New Roman"/>
          <w:sz w:val="18"/>
          <w:szCs w:val="18"/>
          <w:b w:val="1"/>
          <w:bCs w:val="1"/>
          <w:u w:val="single" w:color="auto"/>
          <w:color w:val="auto"/>
        </w:rPr>
        <w:t>Trust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u w:val="single" w:color="auto"/>
          <w:color w:val="auto"/>
        </w:rPr>
        <w:t>Agreement</w:t>
      </w:r>
      <w:r>
        <w:rPr>
          <w:rFonts w:ascii="Times New Roman" w:cs="Times New Roman" w:eastAsia="Times New Roman" w:hAnsi="Times New Roman"/>
          <w:sz w:val="18"/>
          <w:szCs w:val="18"/>
          <w:color w:val="auto"/>
        </w:rPr>
        <w:t>”), by and between the Company and Continental Stock Transfer &amp; Trust Company (the “</w:t>
      </w:r>
      <w:r>
        <w:rPr>
          <w:rFonts w:ascii="Times New Roman" w:cs="Times New Roman" w:eastAsia="Times New Roman" w:hAnsi="Times New Roman"/>
          <w:sz w:val="18"/>
          <w:szCs w:val="18"/>
          <w:b w:val="1"/>
          <w:bCs w:val="1"/>
          <w:u w:val="single" w:color="auto"/>
          <w:color w:val="auto"/>
        </w:rPr>
        <w:t>Trustee</w:t>
      </w:r>
      <w:r>
        <w:rPr>
          <w:rFonts w:ascii="Times New Roman" w:cs="Times New Roman" w:eastAsia="Times New Roman" w:hAnsi="Times New Roman"/>
          <w:sz w:val="18"/>
          <w:szCs w:val="18"/>
          <w:color w:val="auto"/>
        </w:rPr>
        <w:t>”), allowing the Company to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extend the Extended Termination Date up to six (6) times on a month-to-month basis, to September 15, 2023 (the “</w:t>
      </w:r>
      <w:r>
        <w:rPr>
          <w:rFonts w:ascii="Times New Roman" w:cs="Times New Roman" w:eastAsia="Times New Roman" w:hAnsi="Times New Roman"/>
          <w:sz w:val="18"/>
          <w:szCs w:val="18"/>
          <w:b w:val="1"/>
          <w:bCs w:val="1"/>
          <w:u w:val="single" w:color="auto"/>
          <w:color w:val="auto"/>
        </w:rPr>
        <w:t>Trust Amendment</w:t>
      </w:r>
      <w:r>
        <w:rPr>
          <w:rFonts w:ascii="Times New Roman" w:cs="Times New Roman" w:eastAsia="Times New Roman" w:hAnsi="Times New Roman"/>
          <w:sz w:val="18"/>
          <w:szCs w:val="18"/>
          <w:color w:val="auto"/>
        </w:rPr>
        <w:t>”), by depositing into the Trust Account $[337,500] (the “</w:t>
      </w:r>
      <w:r>
        <w:rPr>
          <w:rFonts w:ascii="Times New Roman" w:cs="Times New Roman" w:eastAsia="Times New Roman" w:hAnsi="Times New Roman"/>
          <w:sz w:val="18"/>
          <w:szCs w:val="18"/>
          <w:b w:val="1"/>
          <w:bCs w:val="1"/>
          <w:u w:val="single" w:color="auto"/>
          <w:color w:val="auto"/>
        </w:rPr>
        <w:t>Extension Payment</w:t>
      </w:r>
      <w:r>
        <w:rPr>
          <w:rFonts w:ascii="Times New Roman" w:cs="Times New Roman" w:eastAsia="Times New Roman" w:hAnsi="Times New Roman"/>
          <w:sz w:val="18"/>
          <w:szCs w:val="18"/>
          <w:color w:val="auto"/>
        </w:rPr>
        <w:t>”) for each one-month Extension (or up to an aggregate of $[2,025,000] for the total six-month period) (we refer to this proposal as the “</w:t>
      </w:r>
      <w:r>
        <w:rPr>
          <w:rFonts w:ascii="Times New Roman" w:cs="Times New Roman" w:eastAsia="Times New Roman" w:hAnsi="Times New Roman"/>
          <w:sz w:val="18"/>
          <w:szCs w:val="18"/>
          <w:b w:val="1"/>
          <w:bCs w:val="1"/>
          <w:u w:val="single" w:color="auto"/>
          <w:color w:val="auto"/>
        </w:rPr>
        <w:t>Trust Amendment Proposal</w:t>
      </w:r>
      <w:r>
        <w:rPr>
          <w:rFonts w:ascii="Times New Roman" w:cs="Times New Roman" w:eastAsia="Times New Roman" w:hAnsi="Times New Roman"/>
          <w:sz w:val="18"/>
          <w:szCs w:val="18"/>
          <w:color w:val="auto"/>
        </w:rPr>
        <w:t>”);</w:t>
      </w:r>
    </w:p>
    <w:p>
      <w:pPr>
        <w:spacing w:after="0" w:line="183" w:lineRule="exact"/>
        <w:rPr>
          <w:rFonts w:ascii="Times New Roman" w:cs="Times New Roman" w:eastAsia="Times New Roman" w:hAnsi="Times New Roman"/>
          <w:sz w:val="18"/>
          <w:szCs w:val="18"/>
          <w:color w:val="auto"/>
        </w:rPr>
      </w:pPr>
    </w:p>
    <w:p>
      <w:pPr>
        <w:jc w:val="both"/>
        <w:ind w:left="980" w:hanging="324"/>
        <w:spacing w:after="0" w:line="266" w:lineRule="auto"/>
        <w:tabs>
          <w:tab w:leader="none" w:pos="9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Proposal 3 - A proposal to direct the chairman of the Special Meeting to adjourn the Special Meeting to a later date or dates, if necessary, to permit further solicitation and vote of proxies if, based upon the tabulated vote at the time of the Special Meeting, there are not sufficient votes to approve the foregoing proposal (we refer to this proposal as the “</w:t>
      </w:r>
      <w:r>
        <w:rPr>
          <w:rFonts w:ascii="Times New Roman" w:cs="Times New Roman" w:eastAsia="Times New Roman" w:hAnsi="Times New Roman"/>
          <w:sz w:val="18"/>
          <w:szCs w:val="18"/>
          <w:b w:val="1"/>
          <w:bCs w:val="1"/>
          <w:u w:val="single" w:color="auto"/>
          <w:color w:val="auto"/>
        </w:rPr>
        <w:t>Adjournment Proposal</w:t>
      </w:r>
      <w:r>
        <w:rPr>
          <w:rFonts w:ascii="Times New Roman" w:cs="Times New Roman" w:eastAsia="Times New Roman" w:hAnsi="Times New Roman"/>
          <w:sz w:val="18"/>
          <w:szCs w:val="18"/>
          <w:color w:val="auto"/>
        </w:rPr>
        <w:t>”); and</w:t>
      </w:r>
    </w:p>
    <w:p>
      <w:pPr>
        <w:spacing w:after="0" w:line="17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act on such other matters as may properly come before the Special Meeting or any adjournment thereof.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445770</wp:posOffset>
            </wp:positionV>
            <wp:extent cx="713232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8"/>
          <w:szCs w:val="18"/>
          <w:b w:val="1"/>
          <w:bCs w:val="1"/>
          <w:color w:val="auto"/>
        </w:rPr>
        <w:t>Background</w:t>
      </w:r>
    </w:p>
    <w:p>
      <w:pPr>
        <w:spacing w:after="0" w:line="229"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BurTech was incorporated in Delaware on March 02, 2021 and was formed for the purpose of entering into a merger, share exchange, asset acquisition, stock purchase, recapitalization, reorganization or other similar Business Combination with one or more businesses or entities. As disclosed in the Company’s prospectus dated December 09, 2021 in connection with its initial public offering (the “</w:t>
      </w:r>
      <w:r>
        <w:rPr>
          <w:rFonts w:ascii="Times New Roman" w:cs="Times New Roman" w:eastAsia="Times New Roman" w:hAnsi="Times New Roman"/>
          <w:sz w:val="18"/>
          <w:szCs w:val="18"/>
          <w:b w:val="1"/>
          <w:bCs w:val="1"/>
          <w:u w:val="single" w:color="auto"/>
          <w:color w:val="auto"/>
        </w:rPr>
        <w:t>IPO</w:t>
      </w:r>
      <w:r>
        <w:rPr>
          <w:rFonts w:ascii="Times New Roman" w:cs="Times New Roman" w:eastAsia="Times New Roman" w:hAnsi="Times New Roman"/>
          <w:sz w:val="18"/>
          <w:szCs w:val="18"/>
          <w:color w:val="auto"/>
        </w:rPr>
        <w:t>”), pursuant to the Trust Agreement, and the Company’s Charter, if BurTech was unable to complete its initial business combination within such period (as extended as described herein), it would (i) cease all operations except for the purpose of winding up and (ii) as promptly as reasonably possible but not more than ten business days thereafter, redeem 100% of the outstanding public shares of Class A common stock, at a per-share of common stock price, payable in cash, equal to the aggregate amount then on deposit in the Trust Account, including any interest not previously released to BurTech (net of taxes payable), divided by the number of then outstanding public shares of Class A common stock, which redemption will completely extinguish public stockholders’ rights as holders of shares of Class A common stock (including the right to receive further liquidation distributions, if any), subject to applicable law. As promptly as reasonably possible following such redemption, subject to the approval of the remaining stockholders and the Board, BurTech would dissolve and liquidate, subject to its obligations under Delaware law to provide for claims of creditors and the requirements of other applicable law.</w:t>
      </w:r>
    </w:p>
    <w:p>
      <w:pPr>
        <w:spacing w:after="0" w:line="192"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Although the Company entered into a non-binding letter of intent for a potential business combination with JetSynthesys Pvt. Ltd., the Company is still in the process of identifying a potential business combination target company (the “</w:t>
      </w:r>
      <w:r>
        <w:rPr>
          <w:rFonts w:ascii="Times New Roman" w:cs="Times New Roman" w:eastAsia="Times New Roman" w:hAnsi="Times New Roman"/>
          <w:sz w:val="18"/>
          <w:szCs w:val="18"/>
          <w:b w:val="1"/>
          <w:bCs w:val="1"/>
          <w:u w:val="single" w:color="auto"/>
          <w:color w:val="auto"/>
        </w:rPr>
        <w:t>Target</w:t>
      </w:r>
      <w:r>
        <w:rPr>
          <w:rFonts w:ascii="Times New Roman" w:cs="Times New Roman" w:eastAsia="Times New Roman" w:hAnsi="Times New Roman"/>
          <w:sz w:val="18"/>
          <w:szCs w:val="18"/>
          <w:color w:val="auto"/>
        </w:rPr>
        <w:t>”) for an initial business combination (the “</w:t>
      </w:r>
      <w:r>
        <w:rPr>
          <w:rFonts w:ascii="Times New Roman" w:cs="Times New Roman" w:eastAsia="Times New Roman" w:hAnsi="Times New Roman"/>
          <w:sz w:val="18"/>
          <w:szCs w:val="18"/>
          <w:b w:val="1"/>
          <w:bCs w:val="1"/>
          <w:u w:val="single" w:color="auto"/>
          <w:color w:val="auto"/>
        </w:rPr>
        <w:t>Initial Business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u w:val="single" w:color="auto"/>
          <w:color w:val="auto"/>
        </w:rPr>
        <w:t>Combination</w:t>
      </w:r>
      <w:r>
        <w:rPr>
          <w:rFonts w:ascii="Times New Roman" w:cs="Times New Roman" w:eastAsia="Times New Roman" w:hAnsi="Times New Roman"/>
          <w:sz w:val="18"/>
          <w:szCs w:val="18"/>
          <w:color w:val="auto"/>
        </w:rPr>
        <w:t>”).</w:t>
      </w:r>
    </w:p>
    <w:p>
      <w:pPr>
        <w:spacing w:after="0" w:line="176"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The purpose of the Charter Amendment Proposal and the Trust Amendment Proposal is to allow the Company additional time to find an appropriate company as a target in order to complete an Initial Business Combination. The Company’s prospectus for its IPO and its Charter provide that the Company has until March 15, 2023 (the “</w:t>
      </w:r>
      <w:r>
        <w:rPr>
          <w:rFonts w:ascii="Times New Roman" w:cs="Times New Roman" w:eastAsia="Times New Roman" w:hAnsi="Times New Roman"/>
          <w:sz w:val="18"/>
          <w:szCs w:val="18"/>
          <w:b w:val="1"/>
          <w:bCs w:val="1"/>
          <w:u w:val="single" w:color="auto"/>
          <w:color w:val="auto"/>
        </w:rPr>
        <w:t>Original Termination Date</w:t>
      </w:r>
      <w:r>
        <w:rPr>
          <w:rFonts w:ascii="Times New Roman" w:cs="Times New Roman" w:eastAsia="Times New Roman" w:hAnsi="Times New Roman"/>
          <w:sz w:val="18"/>
          <w:szCs w:val="18"/>
          <w:color w:val="auto"/>
        </w:rPr>
        <w:t>”) to complete an initial business combination. There is not sufficient time before March 15, 2023 for the Company to complete an Initial Business Combination given the projected timetable, to file a registration statement on Form S-4 under the Securities Act of 1933 (the “</w:t>
      </w:r>
      <w:r>
        <w:rPr>
          <w:rFonts w:ascii="Times New Roman" w:cs="Times New Roman" w:eastAsia="Times New Roman" w:hAnsi="Times New Roman"/>
          <w:sz w:val="18"/>
          <w:szCs w:val="18"/>
          <w:b w:val="1"/>
          <w:bCs w:val="1"/>
          <w:color w:val="auto"/>
        </w:rPr>
        <w:t>Initial Business Combination Registration Statement</w:t>
      </w:r>
      <w:r>
        <w:rPr>
          <w:rFonts w:ascii="Times New Roman" w:cs="Times New Roman" w:eastAsia="Times New Roman" w:hAnsi="Times New Roman"/>
          <w:sz w:val="18"/>
          <w:szCs w:val="18"/>
          <w:color w:val="auto"/>
        </w:rPr>
        <w:t>”) with the Securities and Exchange Commission (the “</w:t>
      </w:r>
      <w:r>
        <w:rPr>
          <w:rFonts w:ascii="Times New Roman" w:cs="Times New Roman" w:eastAsia="Times New Roman" w:hAnsi="Times New Roman"/>
          <w:sz w:val="18"/>
          <w:szCs w:val="18"/>
          <w:b w:val="1"/>
          <w:bCs w:val="1"/>
          <w:color w:val="auto"/>
        </w:rPr>
        <w:t>SEC</w:t>
      </w:r>
      <w:r>
        <w:rPr>
          <w:rFonts w:ascii="Times New Roman" w:cs="Times New Roman" w:eastAsia="Times New Roman" w:hAnsi="Times New Roman"/>
          <w:sz w:val="18"/>
          <w:szCs w:val="18"/>
          <w:color w:val="auto"/>
        </w:rPr>
        <w:t>”) and having it declared effective prior to holding a Special Meeting of the Company to consider an Initial Business Combination. Accordingly, the Board has determined that it is in the best interests of our stockholders to extend the date that the Company has to consummate an initial business combination.</w:t>
      </w:r>
    </w:p>
    <w:p>
      <w:pPr>
        <w:spacing w:after="0" w:line="192"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If the Charter Amendment Proposal and the Trust Amendment Proposal are approved, the Company would have up to an additional six months after the Original Termination Date to consummate the Initial Business Combination until September 15, 2023, which is a total of up to 21 months to complete an Initial Business Combination after the Company’s IPO.</w:t>
      </w:r>
    </w:p>
    <w:p>
      <w:pPr>
        <w:spacing w:after="0" w:line="172"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color w:val="auto"/>
        </w:rPr>
        <w:t>Upon the closing of the Company’s IPO, approximately $292.2 million was placed in a trust account (“</w:t>
      </w:r>
      <w:r>
        <w:rPr>
          <w:rFonts w:ascii="Times New Roman" w:cs="Times New Roman" w:eastAsia="Times New Roman" w:hAnsi="Times New Roman"/>
          <w:sz w:val="18"/>
          <w:szCs w:val="18"/>
          <w:b w:val="1"/>
          <w:bCs w:val="1"/>
          <w:u w:val="single" w:color="auto"/>
          <w:color w:val="auto"/>
        </w:rPr>
        <w:t>Trust Account</w:t>
      </w:r>
      <w:r>
        <w:rPr>
          <w:rFonts w:ascii="Times New Roman" w:cs="Times New Roman" w:eastAsia="Times New Roman" w:hAnsi="Times New Roman"/>
          <w:sz w:val="18"/>
          <w:szCs w:val="18"/>
          <w:color w:val="auto"/>
        </w:rPr>
        <w:t>”) located in the United States with Continental Stock Transfer &amp; Trust Company acting as trustee, and held as cash or invested only in U.S. government securities.</w:t>
      </w:r>
    </w:p>
    <w:p>
      <w:pPr>
        <w:spacing w:after="0" w:line="15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The Board has fixed the close of business on [●], 2022 as the record date for determining the Company’s stockholders entitled to receive notice of and to vote at the Special Meeting and any adjournment thereof (the “</w:t>
      </w:r>
      <w:r>
        <w:rPr>
          <w:rFonts w:ascii="Times New Roman" w:cs="Times New Roman" w:eastAsia="Times New Roman" w:hAnsi="Times New Roman"/>
          <w:sz w:val="18"/>
          <w:szCs w:val="18"/>
          <w:b w:val="1"/>
          <w:bCs w:val="1"/>
          <w:u w:val="single" w:color="auto"/>
          <w:color w:val="auto"/>
        </w:rPr>
        <w:t>Record Date</w:t>
      </w:r>
      <w:r>
        <w:rPr>
          <w:rFonts w:ascii="Times New Roman" w:cs="Times New Roman" w:eastAsia="Times New Roman" w:hAnsi="Times New Roman"/>
          <w:sz w:val="18"/>
          <w:szCs w:val="18"/>
          <w:color w:val="auto"/>
        </w:rPr>
        <w:t xml:space="preserve">”). On the Record Date, there were 28,750,000 shares of Class A common stock, $0.0001 par value, issued and outstanding (the “Class A </w:t>
      </w:r>
      <w:r>
        <w:rPr>
          <w:rFonts w:ascii="Times New Roman" w:cs="Times New Roman" w:eastAsia="Times New Roman" w:hAnsi="Times New Roman"/>
          <w:sz w:val="18"/>
          <w:szCs w:val="18"/>
          <w:b w:val="1"/>
          <w:bCs w:val="1"/>
          <w:u w:val="single" w:color="auto"/>
          <w:color w:val="auto"/>
        </w:rPr>
        <w:t>common stock</w:t>
      </w:r>
      <w:r>
        <w:rPr>
          <w:rFonts w:ascii="Times New Roman" w:cs="Times New Roman" w:eastAsia="Times New Roman" w:hAnsi="Times New Roman"/>
          <w:sz w:val="18"/>
          <w:szCs w:val="18"/>
          <w:color w:val="auto"/>
        </w:rPr>
        <w:t>” or “</w:t>
      </w:r>
      <w:r>
        <w:rPr>
          <w:rFonts w:ascii="Times New Roman" w:cs="Times New Roman" w:eastAsia="Times New Roman" w:hAnsi="Times New Roman"/>
          <w:sz w:val="18"/>
          <w:szCs w:val="18"/>
          <w:b w:val="1"/>
          <w:bCs w:val="1"/>
          <w:u w:val="single" w:color="auto"/>
          <w:color w:val="auto"/>
        </w:rPr>
        <w:t>Public Shares</w:t>
      </w:r>
      <w:r>
        <w:rPr>
          <w:rFonts w:ascii="Times New Roman" w:cs="Times New Roman" w:eastAsia="Times New Roman" w:hAnsi="Times New Roman"/>
          <w:sz w:val="18"/>
          <w:szCs w:val="18"/>
          <w:color w:val="auto"/>
        </w:rPr>
        <w:t>”) and 9,487,500 shares of Class B common stock, par value $0.0001 per share, issued and outstanding. Only holders of record of the Company’s Common Stock on the Record Date are entitled to have their votes counted at the Special Meeting or any adjournment thereof.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419735</wp:posOffset>
            </wp:positionV>
            <wp:extent cx="7132320"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11" w:name="page12"/>
    <w:bookmarkEnd w:id="11"/>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The Company’s Sponsor, or any of its affiliates (the “</w:t>
      </w:r>
      <w:r>
        <w:rPr>
          <w:rFonts w:ascii="Times New Roman" w:cs="Times New Roman" w:eastAsia="Times New Roman" w:hAnsi="Times New Roman"/>
          <w:sz w:val="18"/>
          <w:szCs w:val="18"/>
          <w:b w:val="1"/>
          <w:bCs w:val="1"/>
          <w:u w:val="single" w:color="auto"/>
          <w:color w:val="auto"/>
        </w:rPr>
        <w:t>Contributors</w:t>
      </w:r>
      <w:r>
        <w:rPr>
          <w:rFonts w:ascii="Times New Roman" w:cs="Times New Roman" w:eastAsia="Times New Roman" w:hAnsi="Times New Roman"/>
          <w:sz w:val="18"/>
          <w:szCs w:val="18"/>
          <w:color w:val="auto"/>
        </w:rPr>
        <w:t>”) have agreed that if the Charter Amendment Proposal and the Trust Amendment Proposal are approved, they will contribute to the Trust Account $[337,500] for each one-month Extension, paid on a month-to-month and as-needed basis, (each being referred to herein as a “</w:t>
      </w:r>
      <w:r>
        <w:rPr>
          <w:rFonts w:ascii="Times New Roman" w:cs="Times New Roman" w:eastAsia="Times New Roman" w:hAnsi="Times New Roman"/>
          <w:sz w:val="18"/>
          <w:szCs w:val="18"/>
          <w:b w:val="1"/>
          <w:bCs w:val="1"/>
          <w:u w:val="single" w:color="auto"/>
          <w:color w:val="auto"/>
        </w:rPr>
        <w:t>Contribution</w:t>
      </w:r>
      <w:r>
        <w:rPr>
          <w:rFonts w:ascii="Times New Roman" w:cs="Times New Roman" w:eastAsia="Times New Roman" w:hAnsi="Times New Roman"/>
          <w:sz w:val="18"/>
          <w:szCs w:val="18"/>
          <w:color w:val="auto"/>
        </w:rPr>
        <w:t>”), upon five days’ advance notice prior to the applicable deadlines, to extend the Combination Period for an additional one (1) month period each time, for up to six (6) times, until September 15, 2023. Each Contribution will be deposited in the Trust Account within two business days prior to the beginning of the additional extension period (or portion thereof), other than the first Contribution which will be made on the day of the approval of the Trust Amendment Proposal. If the Company extends the time to complete a business combination to September 15, 2023, the Contributors would make aggregate Contributions in the amount of $[2,025,000].</w:t>
      </w:r>
    </w:p>
    <w:p>
      <w:pPr>
        <w:spacing w:after="0" w:line="187"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The Contributors will not make any Contribution unless the Charter Amendment Proposal and the Trust Amendment Proposal are both approved and the Extension Termination Date is extended. The Contribution(s) will not bear any interest. The contributions will be lost if the Company is unable to consummate an initial business combination except to the extent of any funds held outside of the Trust Account. The Company will have the sole discretion whether to continue extending the time to complete a business combination until the Extended Termination Date, and if the Company determines not to continue extending for an additional period, any obligation to make additional Contributions will terminate. If this occurs, or if the Company’s board of directors otherwise determines that the Company will not be able to consummate an initial business combination by the Extended Termination Date and does not wish to seek an additional Extension, the Company would wind up the Company’s affairs and redeem 100% of the outstanding public shares of Class A common stock in accordance with the same procedures set forth below that would be applicable if the Charter Amendment Proposal and the Trust Amendment Proposal are not approved.</w:t>
      </w:r>
    </w:p>
    <w:p>
      <w:pPr>
        <w:spacing w:after="0" w:line="188"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The purpose of the Charter Amendment Proposal and the Trust Amendment Proposal is to allow BurTech more time to complete its Initial Business Combination. BurTech’s Charter provides that BurTech has only until March 15, 2023 to complete a business combination.</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QUESTIONS AND ANSWERS ABOUT THE SPECIAL MEETING</w:t>
      </w:r>
    </w:p>
    <w:p>
      <w:pPr>
        <w:spacing w:after="0" w:line="229"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These Questions and Answers are only summaries of the matters they discuss. They do not contain all of the information that may be important to you.</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You should carefully read the entire document, including the annexes to this proxy statement.</w:t>
      </w:r>
    </w:p>
    <w:p>
      <w:pPr>
        <w:spacing w:after="0" w:line="203" w:lineRule="exact"/>
        <w:rPr>
          <w:sz w:val="20"/>
          <w:szCs w:val="20"/>
          <w:color w:val="auto"/>
        </w:rPr>
      </w:pPr>
    </w:p>
    <w:p>
      <w:pPr>
        <w:ind w:left="380" w:hanging="372"/>
        <w:spacing w:after="0"/>
        <w:tabs>
          <w:tab w:leader="none" w:pos="380" w:val="left"/>
        </w:tabs>
        <w:numPr>
          <w:ilvl w:val="0"/>
          <w:numId w:val="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What is being voted on?</w:t>
      </w:r>
    </w:p>
    <w:p>
      <w:pPr>
        <w:spacing w:after="0" w:line="225" w:lineRule="exact"/>
        <w:rPr>
          <w:rFonts w:ascii="Times New Roman" w:cs="Times New Roman" w:eastAsia="Times New Roman" w:hAnsi="Times New Roman"/>
          <w:sz w:val="18"/>
          <w:szCs w:val="18"/>
          <w:b w:val="1"/>
          <w:bCs w:val="1"/>
          <w:color w:val="auto"/>
        </w:rPr>
      </w:pPr>
    </w:p>
    <w:p>
      <w:pPr>
        <w:jc w:val="both"/>
        <w:ind w:left="380" w:hanging="372"/>
        <w:spacing w:after="0" w:line="254" w:lineRule="auto"/>
        <w:tabs>
          <w:tab w:leader="none" w:pos="38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You are being asked to consider and vote upon (x) a proposal to amend the Company’s Charter (such amendment, the “</w:t>
      </w:r>
      <w:r>
        <w:rPr>
          <w:rFonts w:ascii="Times New Roman" w:cs="Times New Roman" w:eastAsia="Times New Roman" w:hAnsi="Times New Roman"/>
          <w:sz w:val="18"/>
          <w:szCs w:val="18"/>
          <w:b w:val="1"/>
          <w:bCs w:val="1"/>
          <w:u w:val="single" w:color="auto"/>
          <w:color w:val="auto"/>
        </w:rPr>
        <w:t>Charter Amendment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u w:val="single" w:color="auto"/>
          <w:color w:val="auto"/>
        </w:rPr>
        <w:t>Proposal</w:t>
      </w:r>
      <w:r>
        <w:rPr>
          <w:rFonts w:ascii="Times New Roman" w:cs="Times New Roman" w:eastAsia="Times New Roman" w:hAnsi="Times New Roman"/>
          <w:sz w:val="18"/>
          <w:szCs w:val="18"/>
          <w:color w:val="auto"/>
        </w:rPr>
        <w:t>”) and to amend the Investment Management Trust Agreement (the “</w:t>
      </w:r>
      <w:r>
        <w:rPr>
          <w:rFonts w:ascii="Times New Roman" w:cs="Times New Roman" w:eastAsia="Times New Roman" w:hAnsi="Times New Roman"/>
          <w:sz w:val="18"/>
          <w:szCs w:val="18"/>
          <w:b w:val="1"/>
          <w:bCs w:val="1"/>
          <w:u w:val="single" w:color="auto"/>
          <w:color w:val="auto"/>
        </w:rPr>
        <w:t>Trust Amendment Proposal</w:t>
      </w:r>
      <w:r>
        <w:rPr>
          <w:rFonts w:ascii="Times New Roman" w:cs="Times New Roman" w:eastAsia="Times New Roman" w:hAnsi="Times New Roman"/>
          <w:sz w:val="18"/>
          <w:szCs w:val="18"/>
          <w:color w:val="auto"/>
        </w:rPr>
        <w:t>”) to allow the Board to extend the date to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consummate a business combination on an as-needed, month-to-month basis, from March 15, 2023 to September 15, 2023 (the latest such date actually extended being referred to as the “</w:t>
      </w:r>
      <w:r>
        <w:rPr>
          <w:rFonts w:ascii="Times New Roman" w:cs="Times New Roman" w:eastAsia="Times New Roman" w:hAnsi="Times New Roman"/>
          <w:sz w:val="18"/>
          <w:szCs w:val="18"/>
          <w:b w:val="1"/>
          <w:bCs w:val="1"/>
          <w:u w:val="single" w:color="auto"/>
          <w:color w:val="auto"/>
        </w:rPr>
        <w:t>Extended Termination Date</w:t>
      </w:r>
      <w:r>
        <w:rPr>
          <w:rFonts w:ascii="Times New Roman" w:cs="Times New Roman" w:eastAsia="Times New Roman" w:hAnsi="Times New Roman"/>
          <w:sz w:val="18"/>
          <w:szCs w:val="18"/>
          <w:color w:val="auto"/>
        </w:rPr>
        <w:t>”), without another stockholder vote, the date by which, if the Company has not consummated a merger, merger, share exchange, asset acquisition, stock purchase, recapitalization, reorganization or other similar business combination involving one or more businesses or entities, the Company must: (i) cease all operations except for the purpose of winding up and (ii) as promptly as reasonably possible but not more than ten business days thereafter, redeem 100% of the outstanding shares of Class A common stock, which redemption will completely extinguish public stockholders’ rights as holders of shares of Class A common stock, at a per-share of Class A common stock price, payable in cash, equal to the aggregate amount then on deposit in the Trust Account, including any interest not previously released to BurTech (net of taxes payable), divided by the number of then outstanding shares of Class A common stock (including the right to receive further liquidation distributions, if any), subject to applicable law; and (y) a proposal to adjourn the Special Meeting if necessary.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421640</wp:posOffset>
            </wp:positionV>
            <wp:extent cx="7132320"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12" w:name="page13"/>
    <w:bookmarkEnd w:id="12"/>
    <w:p>
      <w:pPr>
        <w:ind w:left="380" w:hanging="372"/>
        <w:spacing w:after="0"/>
        <w:tabs>
          <w:tab w:leader="none" w:pos="380" w:val="left"/>
        </w:tabs>
        <w:numPr>
          <w:ilvl w:val="0"/>
          <w:numId w:val="1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Why is the Company proposing the Charter Amendment Proposal and the Trust Amendment Proposal?</w:t>
      </w:r>
    </w:p>
    <w:p>
      <w:pPr>
        <w:spacing w:after="0" w:line="229" w:lineRule="exact"/>
        <w:rPr>
          <w:rFonts w:ascii="Times New Roman" w:cs="Times New Roman" w:eastAsia="Times New Roman" w:hAnsi="Times New Roman"/>
          <w:sz w:val="18"/>
          <w:szCs w:val="18"/>
          <w:b w:val="1"/>
          <w:bCs w:val="1"/>
          <w:color w:val="auto"/>
        </w:rPr>
      </w:pPr>
    </w:p>
    <w:p>
      <w:pPr>
        <w:jc w:val="both"/>
        <w:ind w:left="380" w:hanging="372"/>
        <w:spacing w:after="0" w:line="254" w:lineRule="auto"/>
        <w:tabs>
          <w:tab w:leader="none" w:pos="3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BurTech was incorporated in Delaware on March 02, 2021 and was formed for the purpose of entering into a merger, share exchange, asset acquisition, stock purchase, recapitalization, reorganization or other similar Business Combination with one or more businesses or entities. On December 15, 2021, the Company consummated its initial public offering (“</w:t>
      </w:r>
      <w:r>
        <w:rPr>
          <w:rFonts w:ascii="Times New Roman" w:cs="Times New Roman" w:eastAsia="Times New Roman" w:hAnsi="Times New Roman"/>
          <w:sz w:val="18"/>
          <w:szCs w:val="18"/>
          <w:b w:val="1"/>
          <w:bCs w:val="1"/>
          <w:u w:val="single" w:color="auto"/>
          <w:color w:val="auto"/>
        </w:rPr>
        <w:t>IPO</w:t>
      </w:r>
      <w:r>
        <w:rPr>
          <w:rFonts w:ascii="Times New Roman" w:cs="Times New Roman" w:eastAsia="Times New Roman" w:hAnsi="Times New Roman"/>
          <w:sz w:val="18"/>
          <w:szCs w:val="18"/>
          <w:color w:val="auto"/>
        </w:rPr>
        <w:t>”) and the underwriters’ partial exercise of over-allotment option on December 13, 2021. Simultaneously with the closing of the IPO and the exercise of the partial exercise by the underwriter of its over-allotment option, the Company consummated the private placement for the sale of private units (“</w:t>
      </w:r>
      <w:r>
        <w:rPr>
          <w:rFonts w:ascii="Times New Roman" w:cs="Times New Roman" w:eastAsia="Times New Roman" w:hAnsi="Times New Roman"/>
          <w:sz w:val="18"/>
          <w:szCs w:val="18"/>
          <w:b w:val="1"/>
          <w:bCs w:val="1"/>
          <w:u w:val="single" w:color="auto"/>
          <w:color w:val="auto"/>
        </w:rPr>
        <w:t>Private Placement</w:t>
      </w:r>
      <w:r>
        <w:rPr>
          <w:rFonts w:ascii="Times New Roman" w:cs="Times New Roman" w:eastAsia="Times New Roman" w:hAnsi="Times New Roman"/>
          <w:sz w:val="18"/>
          <w:szCs w:val="18"/>
          <w:color w:val="auto"/>
        </w:rPr>
        <w:t>”) with BurTech LP, LLC (the “</w:t>
      </w:r>
      <w:r>
        <w:rPr>
          <w:rFonts w:ascii="Times New Roman" w:cs="Times New Roman" w:eastAsia="Times New Roman" w:hAnsi="Times New Roman"/>
          <w:sz w:val="18"/>
          <w:szCs w:val="18"/>
          <w:b w:val="1"/>
          <w:bCs w:val="1"/>
          <w:u w:val="single" w:color="auto"/>
          <w:color w:val="auto"/>
        </w:rPr>
        <w:t>Sponsor</w:t>
      </w:r>
      <w:r>
        <w:rPr>
          <w:rFonts w:ascii="Times New Roman" w:cs="Times New Roman" w:eastAsia="Times New Roman" w:hAnsi="Times New Roman"/>
          <w:sz w:val="18"/>
          <w:szCs w:val="18"/>
          <w:color w:val="auto"/>
        </w:rPr>
        <w:t>”) containing an aggregate of 898,250 shares of Class A common stock (the “</w:t>
      </w:r>
      <w:r>
        <w:rPr>
          <w:rFonts w:ascii="Times New Roman" w:cs="Times New Roman" w:eastAsia="Times New Roman" w:hAnsi="Times New Roman"/>
          <w:sz w:val="18"/>
          <w:szCs w:val="18"/>
          <w:b w:val="1"/>
          <w:bCs w:val="1"/>
          <w:u w:val="single" w:color="auto"/>
          <w:color w:val="auto"/>
        </w:rPr>
        <w:t>Private Placement Shares</w:t>
      </w:r>
      <w:r>
        <w:rPr>
          <w:rFonts w:ascii="Times New Roman" w:cs="Times New Roman" w:eastAsia="Times New Roman" w:hAnsi="Times New Roman"/>
          <w:sz w:val="18"/>
          <w:szCs w:val="18"/>
          <w:color w:val="auto"/>
        </w:rPr>
        <w:t>”). $291,812,500 from the net proceeds of the units sold in the IPO and the Private Placement was placed in a trust account maintained by Continental Stock Transfer &amp; Trust Company, acting as trustee (the “</w:t>
      </w:r>
      <w:r>
        <w:rPr>
          <w:rFonts w:ascii="Times New Roman" w:cs="Times New Roman" w:eastAsia="Times New Roman" w:hAnsi="Times New Roman"/>
          <w:sz w:val="18"/>
          <w:szCs w:val="18"/>
          <w:b w:val="1"/>
          <w:bCs w:val="1"/>
          <w:u w:val="single" w:color="auto"/>
          <w:color w:val="auto"/>
        </w:rPr>
        <w:t>Trust Account</w:t>
      </w:r>
      <w:r>
        <w:rPr>
          <w:rFonts w:ascii="Times New Roman" w:cs="Times New Roman" w:eastAsia="Times New Roman" w:hAnsi="Times New Roman"/>
          <w:sz w:val="18"/>
          <w:szCs w:val="18"/>
          <w:color w:val="auto"/>
        </w:rPr>
        <w:t>”) for the benefit of the persons holding Public Shares (“</w:t>
      </w:r>
      <w:r>
        <w:rPr>
          <w:rFonts w:ascii="Times New Roman" w:cs="Times New Roman" w:eastAsia="Times New Roman" w:hAnsi="Times New Roman"/>
          <w:sz w:val="18"/>
          <w:szCs w:val="18"/>
          <w:b w:val="1"/>
          <w:bCs w:val="1"/>
          <w:u w:val="single" w:color="auto"/>
          <w:color w:val="auto"/>
        </w:rPr>
        <w:t>Public Stockholders</w:t>
      </w:r>
      <w:r>
        <w:rPr>
          <w:rFonts w:ascii="Times New Roman" w:cs="Times New Roman" w:eastAsia="Times New Roman" w:hAnsi="Times New Roman"/>
          <w:sz w:val="18"/>
          <w:szCs w:val="18"/>
          <w:color w:val="auto"/>
        </w:rPr>
        <w:t>”).</w:t>
      </w:r>
    </w:p>
    <w:p>
      <w:pPr>
        <w:spacing w:after="0" w:line="19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Our Charter provides for the return of the IPO proceeds held in the trust account to the holders of Public Shares if there is no qualifying business combination(s) consummated on or before March 15, 2023. The Company has identified a potential business combination target company (the “</w:t>
      </w:r>
      <w:r>
        <w:rPr>
          <w:rFonts w:ascii="Times New Roman" w:cs="Times New Roman" w:eastAsia="Times New Roman" w:hAnsi="Times New Roman"/>
          <w:sz w:val="18"/>
          <w:szCs w:val="18"/>
          <w:b w:val="1"/>
          <w:bCs w:val="1"/>
          <w:u w:val="single" w:color="auto"/>
          <w:color w:val="auto"/>
        </w:rPr>
        <w:t>Target</w:t>
      </w:r>
      <w:r>
        <w:rPr>
          <w:rFonts w:ascii="Times New Roman" w:cs="Times New Roman" w:eastAsia="Times New Roman" w:hAnsi="Times New Roman"/>
          <w:sz w:val="18"/>
          <w:szCs w:val="18"/>
          <w:color w:val="auto"/>
        </w:rPr>
        <w:t>”) for an initial business combination (the “</w:t>
      </w:r>
      <w:r>
        <w:rPr>
          <w:rFonts w:ascii="Times New Roman" w:cs="Times New Roman" w:eastAsia="Times New Roman" w:hAnsi="Times New Roman"/>
          <w:sz w:val="18"/>
          <w:szCs w:val="18"/>
          <w:b w:val="1"/>
          <w:bCs w:val="1"/>
          <w:u w:val="single" w:color="auto"/>
          <w:color w:val="auto"/>
        </w:rPr>
        <w:t>Initial Business Combination</w:t>
      </w:r>
      <w:r>
        <w:rPr>
          <w:rFonts w:ascii="Times New Roman" w:cs="Times New Roman" w:eastAsia="Times New Roman" w:hAnsi="Times New Roman"/>
          <w:sz w:val="18"/>
          <w:szCs w:val="18"/>
          <w:color w:val="auto"/>
        </w:rPr>
        <w:t>”). The Company believes the Target is a compelling opportunity for the Company’s initial business combination and is currently in the process of completing an initial business combination involving the Target.</w:t>
      </w:r>
    </w:p>
    <w:p>
      <w:pPr>
        <w:spacing w:after="0" w:line="18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 believes that given its expenditure of time, effort, and money searching for potential business combination opportunities, the Public Stockholders of the Company should be given an opportunity to consider and vote on an Initial Business Combination. We do not believe that we will have sufficient time to consummate the Initial Business Combination prior to March 15, 2023. Therefore, we are seeking approval of the Charter Amendment Proposal and the Trust Amendment Proposal.</w:t>
      </w:r>
    </w:p>
    <w:p>
      <w:pPr>
        <w:spacing w:after="0" w:line="18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Board believes that it is in the best interests of the stockholders to continue the Company’s existence in order to allow the Company more time to complete the Initial Business Combination. Accordingly, the Board is proposing the Charter Amendment Proposal and the Trust Amendment Proposal to extend the Company’s corporate existence and time to complete the Initial Business Combination.</w:t>
      </w:r>
    </w:p>
    <w:p>
      <w:pPr>
        <w:spacing w:after="0" w:line="17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b w:val="1"/>
          <w:bCs w:val="1"/>
          <w:color w:val="auto"/>
        </w:rPr>
        <w:t>YOU ARE NOT BEING ASKED TO VOTE ON THE INITIAL BUSINESS COMBINATION AT THIS TIME. IF THE CHARTER AMENDMENT PROPOSAL IS APPROVED AND THE CHARTER AMENDMENT IS FILED AND YOU DO NOT ELECT TO REDEEM YOUR PUBLIC SHARES NOW, YOU WILL RETAIN THE RIGHT TO VOTE ON THE INITIAL BUSINESS COMBINATION WHEN IT IS SUBMITTED TO STOCKHOLDERS AND THE RIGHT TO REDEEM YOUR PUBLIC SHARES FOR A PRO RATA PORTION OF THE TRUST ACCOUNT IN THE EVENT THE INITIAL BUSINESS COMBINATION IS APPROVED AND COMPLETED OR THE COMPANY HAS NOT CONSUMMATED A BUSINESS COMBINATION BY THE EXTENDED DATE (OR THE ADDITIONAL EXTENSION DATE, IF APPLICABLE).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421640</wp:posOffset>
            </wp:positionV>
            <wp:extent cx="7132320"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13" w:name="page14"/>
    <w:bookmarkEnd w:id="13"/>
    <w:p>
      <w:pPr>
        <w:ind w:left="380" w:hanging="372"/>
        <w:spacing w:after="0"/>
        <w:tabs>
          <w:tab w:leader="none" w:pos="380" w:val="left"/>
        </w:tabs>
        <w:numPr>
          <w:ilvl w:val="0"/>
          <w:numId w:val="1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Why should I vote for the Charter Amendment Proposal and the Trust Amendment Proposal?</w:t>
      </w:r>
    </w:p>
    <w:p>
      <w:pPr>
        <w:spacing w:after="0" w:line="229" w:lineRule="exact"/>
        <w:rPr>
          <w:rFonts w:ascii="Times New Roman" w:cs="Times New Roman" w:eastAsia="Times New Roman" w:hAnsi="Times New Roman"/>
          <w:sz w:val="18"/>
          <w:szCs w:val="18"/>
          <w:b w:val="1"/>
          <w:bCs w:val="1"/>
          <w:color w:val="auto"/>
        </w:rPr>
      </w:pPr>
    </w:p>
    <w:p>
      <w:pPr>
        <w:jc w:val="both"/>
        <w:ind w:left="380" w:hanging="372"/>
        <w:spacing w:after="0" w:line="258" w:lineRule="auto"/>
        <w:tabs>
          <w:tab w:leader="none" w:pos="38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Board believes stockholders will benefit from the Company’s consummating the Initial Business Combination and is proposing the Charter Amendment Proposal and the Trust Amendment Proposal to extend the date by which the Company has to complete the Initial Business Combination. Approval of the Charter Amendment Proposal and the Trust Amendment Proposal would give the Company additional time to identify a target and complete an Initial Business Combination and would allow you as a stockholder the benefit of voting for the Initial Business Combination and remaining a stockholder in the post-business combination company, if you desire.</w:t>
      </w:r>
    </w:p>
    <w:p>
      <w:pPr>
        <w:spacing w:after="0" w:line="183"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Accordingly, we believe that the Charter Amendment Proposal and the Trust Amendment Proposal is consistent with the spirit in which the Company offered its securities to the public in the IPO.</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You will have redemption rights in connection with the Charter Amendment Proposal and the Trust Amendment Proposal.</w:t>
      </w:r>
    </w:p>
    <w:p>
      <w:pPr>
        <w:spacing w:after="0" w:line="221" w:lineRule="exact"/>
        <w:rPr>
          <w:sz w:val="20"/>
          <w:szCs w:val="20"/>
          <w:color w:val="auto"/>
        </w:rPr>
      </w:pPr>
    </w:p>
    <w:p>
      <w:pPr>
        <w:ind w:left="380" w:hanging="372"/>
        <w:spacing w:after="0"/>
        <w:tabs>
          <w:tab w:leader="none" w:pos="380" w:val="left"/>
        </w:tabs>
        <w:numPr>
          <w:ilvl w:val="0"/>
          <w:numId w:val="1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May I redeem my Public Shares in connection with the vote on the Charter Amendment Proposal and the Trust Amendment Proposal?</w:t>
      </w:r>
    </w:p>
    <w:p>
      <w:pPr>
        <w:spacing w:after="0" w:line="229" w:lineRule="exact"/>
        <w:rPr>
          <w:rFonts w:ascii="Times New Roman" w:cs="Times New Roman" w:eastAsia="Times New Roman" w:hAnsi="Times New Roman"/>
          <w:sz w:val="18"/>
          <w:szCs w:val="18"/>
          <w:b w:val="1"/>
          <w:bCs w:val="1"/>
          <w:color w:val="auto"/>
        </w:rPr>
      </w:pPr>
    </w:p>
    <w:p>
      <w:pPr>
        <w:jc w:val="both"/>
        <w:ind w:left="380" w:hanging="372"/>
        <w:spacing w:after="0" w:line="266" w:lineRule="auto"/>
        <w:tabs>
          <w:tab w:leader="none" w:pos="38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Yes. Under our Charter, the submission of a matter to amend our Charter entitles holders of Public Shares to redeem their shares for their pro rata portion of the funds held in the trust account established at the time of the IPO. Holders of Public Shares do not need to vote against the Charter Amendment Proposal and the Trust Amendment Proposal or be a holder of record on the Record Date to exercise their redemption rights.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If the Charter Amendment Proposal and the Trust Amendment Proposal are approved, with respect to holders’ right to redeem, the Company will</w:t>
      </w:r>
    </w:p>
    <w:p>
      <w:pPr>
        <w:spacing w:after="0" w:line="27" w:lineRule="exact"/>
        <w:rPr>
          <w:sz w:val="20"/>
          <w:szCs w:val="20"/>
          <w:color w:val="auto"/>
        </w:rPr>
      </w:pPr>
    </w:p>
    <w:p>
      <w:pPr>
        <w:jc w:val="both"/>
        <w:ind w:firstLine="8"/>
        <w:spacing w:after="0" w:line="253" w:lineRule="auto"/>
        <w:tabs>
          <w:tab w:leader="none" w:pos="225"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remove from the trust account an amount (the “</w:t>
      </w:r>
      <w:r>
        <w:rPr>
          <w:rFonts w:ascii="Times New Roman" w:cs="Times New Roman" w:eastAsia="Times New Roman" w:hAnsi="Times New Roman"/>
          <w:sz w:val="18"/>
          <w:szCs w:val="18"/>
          <w:b w:val="1"/>
          <w:bCs w:val="1"/>
          <w:u w:val="single" w:color="auto"/>
          <w:color w:val="auto"/>
        </w:rPr>
        <w:t>Withdrawal Amount</w:t>
      </w:r>
      <w:r>
        <w:rPr>
          <w:rFonts w:ascii="Times New Roman" w:cs="Times New Roman" w:eastAsia="Times New Roman" w:hAnsi="Times New Roman"/>
          <w:sz w:val="18"/>
          <w:szCs w:val="18"/>
          <w:color w:val="auto"/>
        </w:rPr>
        <w:t>”) equal to the pro rata portion of funds available in the trust account relating to any Public Shares redeemed by holders in connection with the Charter Amendment Proposal and the Trust Amendment Proposal, if any, and (ii) deliver to the holders of such redeemed Public Shares their pro rata portion of the Withdrawal Amount. The remainder of such funds shall remain in the trust account and be available for use by the Company to complete an Initial Business Combination on or before each Extension date, if applicable. Holders of Public Shares who do not redeem their Public Shares now will retain their redemption rights and their ability to vote on the Initial Business Combination.</w:t>
      </w:r>
    </w:p>
    <w:p>
      <w:pPr>
        <w:spacing w:after="0" w:line="183" w:lineRule="exact"/>
        <w:rPr>
          <w:sz w:val="20"/>
          <w:szCs w:val="20"/>
          <w:color w:val="auto"/>
        </w:rPr>
      </w:pPr>
    </w:p>
    <w:p>
      <w:pPr>
        <w:ind w:left="380" w:hanging="372"/>
        <w:spacing w:after="0"/>
        <w:tabs>
          <w:tab w:leader="none" w:pos="380" w:val="left"/>
        </w:tabs>
        <w:numPr>
          <w:ilvl w:val="0"/>
          <w:numId w:val="1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Will the Company be affected by the Excise Tax included in the Inflation Reduction Act of 2022?</w:t>
      </w:r>
    </w:p>
    <w:p>
      <w:pPr>
        <w:spacing w:after="0" w:line="229" w:lineRule="exact"/>
        <w:rPr>
          <w:rFonts w:ascii="Times New Roman" w:cs="Times New Roman" w:eastAsia="Times New Roman" w:hAnsi="Times New Roman"/>
          <w:sz w:val="18"/>
          <w:szCs w:val="18"/>
          <w:b w:val="1"/>
          <w:bCs w:val="1"/>
          <w:color w:val="auto"/>
        </w:rPr>
      </w:pPr>
    </w:p>
    <w:p>
      <w:pPr>
        <w:jc w:val="both"/>
        <w:ind w:left="380" w:hanging="372"/>
        <w:spacing w:after="0" w:line="253" w:lineRule="auto"/>
        <w:tabs>
          <w:tab w:leader="none" w:pos="38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August 16, 2022, President Biden signed into law the Inflation Reduction Act of 2022 (the “IR Act”), which, among other things, imposes a 1% excise tax on any publicly traded domestic corporation that repurchases its stock after December 31, 2022 (the “Excise Tax”). The Excise Tax is imposed on the fair market value of the repurchased stock, with certain exceptions. Because we are a Delaware corporation and our securities are trading on Nasdaq, we will be a “covered corporation” within the meaning of the IR Act. While not free from doubt, absent any further guidance from the U.S. Department of the Treasury (the “Treasury”), who has been given authority to provide regulations and other guidance to carry out and prevent the abuse or avoidance of the excise tax, the Excise Tax may apply to any redemptions of our common stock after December 31, 2022, including redemptions in connection with an initial Business Combination, extension vote or otherwise, unless an exemption is available. Issuances of securities in connection with our initial Business Combination transaction (including any PIPE transaction at the time of our initial Business Combination) are expected to reduce the amount of the Excise Tax in connection with redemptions occurring in the same calendar year, but the number of securities redeemed may exceed the number of securities issued.</w:t>
      </w:r>
    </w:p>
    <w:p>
      <w:pPr>
        <w:spacing w:after="0" w:line="194" w:lineRule="exact"/>
        <w:rPr>
          <w:rFonts w:ascii="Times New Roman" w:cs="Times New Roman" w:eastAsia="Times New Roman" w:hAnsi="Times New Roman"/>
          <w:sz w:val="18"/>
          <w:szCs w:val="18"/>
          <w:color w:val="auto"/>
        </w:rPr>
      </w:pPr>
    </w:p>
    <w:p>
      <w:pPr>
        <w:jc w:val="both"/>
        <w:ind w:left="380"/>
        <w:spacing w:after="0" w:line="254"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and to what extent the Company would be subject to the excise tax in connection with a Business Combination, extension vote or otherwise would depend on a number of factors, including (i) the fair market value of the redemptions and repurchases in connection with the Business Combination, extension or otherwise, (ii) the structure of a Business Combination, (iii) the nature and amount of any “PIPE” or other equity issuances in connection with a Business Combination (or otherwise issued not in connection with a Business Combination but issued within the same taxable year of a Business Combination) and (iv) the content of regulations and other guidance from the Treasury. In addition, because the excise tax would be payable by the Company and not by the redeeming holder, the mechanics of any required payment of the excise tax have not been determined. Further, the application of the Excise tax in the event of a liquidation is uncertain. Consequently, the Excise Tax may make a transaction with us less appealing to potential Business Combination targets.</w:t>
      </w:r>
    </w:p>
    <w:p>
      <w:pPr>
        <w:spacing w:after="0" w:line="191" w:lineRule="exact"/>
        <w:rPr>
          <w:rFonts w:ascii="Times New Roman" w:cs="Times New Roman" w:eastAsia="Times New Roman" w:hAnsi="Times New Roman"/>
          <w:sz w:val="18"/>
          <w:szCs w:val="18"/>
          <w:color w:val="auto"/>
        </w:rPr>
      </w:pPr>
    </w:p>
    <w:p>
      <w:pPr>
        <w:jc w:val="both"/>
        <w:ind w:left="380"/>
        <w:spacing w:after="0" w:line="266"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However, because any redemptions that occur as a result of the Charter Amendment proposal and the Trust Amendment Proposal would occur prior to December 31, 2022, we would not be subject to the Excise Tax as a result of any redemptions in connection with approving the Charter Amendment and the Trust Amendment.</w:t>
      </w:r>
    </w:p>
    <w:p>
      <w:pPr>
        <w:spacing w:after="0" w:line="171" w:lineRule="exact"/>
        <w:rPr>
          <w:rFonts w:ascii="Times New Roman" w:cs="Times New Roman" w:eastAsia="Times New Roman" w:hAnsi="Times New Roman"/>
          <w:sz w:val="18"/>
          <w:szCs w:val="18"/>
          <w:color w:val="auto"/>
        </w:rPr>
      </w:pPr>
    </w:p>
    <w:p>
      <w:pPr>
        <w:ind w:left="380" w:hanging="372"/>
        <w:spacing w:after="0"/>
        <w:tabs>
          <w:tab w:leader="none" w:pos="380" w:val="left"/>
        </w:tabs>
        <w:numPr>
          <w:ilvl w:val="0"/>
          <w:numId w:val="2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Why is the Company proposing the Adjournment Proposal?</w:t>
      </w:r>
    </w:p>
    <w:p>
      <w:pPr>
        <w:spacing w:after="0" w:line="229" w:lineRule="exact"/>
        <w:rPr>
          <w:rFonts w:ascii="Times New Roman" w:cs="Times New Roman" w:eastAsia="Times New Roman" w:hAnsi="Times New Roman"/>
          <w:sz w:val="18"/>
          <w:szCs w:val="18"/>
          <w:b w:val="1"/>
          <w:bCs w:val="1"/>
          <w:color w:val="auto"/>
        </w:rPr>
      </w:pPr>
    </w:p>
    <w:p>
      <w:pPr>
        <w:ind w:left="380" w:hanging="372"/>
        <w:spacing w:after="0" w:line="282" w:lineRule="auto"/>
        <w:tabs>
          <w:tab w:leader="none" w:pos="38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allow the Company more time to solicit additional proxies in favor of the Charter Amendment Proposal and the Trust Amendment Proposal, in the event the Company does not receive the requisite stockholder vote to approve the Charter Amendment Proposal and the Trust Amendment Proposal.</w:t>
      </w:r>
    </w:p>
    <w:p>
      <w:pPr>
        <w:spacing w:after="0" w:line="157" w:lineRule="exact"/>
        <w:rPr>
          <w:rFonts w:ascii="Times New Roman" w:cs="Times New Roman" w:eastAsia="Times New Roman" w:hAnsi="Times New Roman"/>
          <w:sz w:val="18"/>
          <w:szCs w:val="18"/>
          <w:color w:val="auto"/>
        </w:rPr>
      </w:pPr>
    </w:p>
    <w:p>
      <w:pPr>
        <w:ind w:left="380" w:hanging="372"/>
        <w:spacing w:after="0"/>
        <w:tabs>
          <w:tab w:leader="none" w:pos="380" w:val="left"/>
        </w:tabs>
        <w:numPr>
          <w:ilvl w:val="0"/>
          <w:numId w:val="2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How do the Company’s executive officers, directors and affiliates intend to vote their shares?</w:t>
      </w:r>
    </w:p>
    <w:p>
      <w:pPr>
        <w:spacing w:after="0" w:line="229" w:lineRule="exact"/>
        <w:rPr>
          <w:rFonts w:ascii="Times New Roman" w:cs="Times New Roman" w:eastAsia="Times New Roman" w:hAnsi="Times New Roman"/>
          <w:sz w:val="18"/>
          <w:szCs w:val="18"/>
          <w:b w:val="1"/>
          <w:bCs w:val="1"/>
          <w:color w:val="auto"/>
        </w:rPr>
      </w:pPr>
    </w:p>
    <w:p>
      <w:pPr>
        <w:jc w:val="both"/>
        <w:ind w:left="380" w:hanging="372"/>
        <w:spacing w:after="0" w:line="266" w:lineRule="auto"/>
        <w:tabs>
          <w:tab w:leader="none" w:pos="38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of the Company’s directors, executive officers and their respective affiliates, as well as the Sponsor, are expected to vote any shares of Common Stock over which they have voting control (including any Public Shares owned by them) in favor of the Charter Amendment Proposal and the Trust Amendment Proposal and the Adjournment Proposal.</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Our executive officers and directors are not entitled to redeem such shares in connection with the Charter Amendment Proposal and the Trust Amendment Proposal. On the Record Date, they held 9,487,500 shares of Class B common stock and 898,250 shares of Class A common stock representing approximately 26.6% of the Company’s issued and outstanding shares of Common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414655</wp:posOffset>
            </wp:positionV>
            <wp:extent cx="7132320"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0" w:right="339" w:bottom="1073" w:gutter="0" w:footer="0" w:header="0"/>
        </w:sectPr>
      </w:pPr>
    </w:p>
    <w:bookmarkStart w:id="14" w:name="page15"/>
    <w:bookmarkEnd w:id="14"/>
    <w:p>
      <w:pPr>
        <w:ind w:left="380" w:hanging="372"/>
        <w:spacing w:after="0"/>
        <w:tabs>
          <w:tab w:leader="none" w:pos="380" w:val="left"/>
        </w:tabs>
        <w:numPr>
          <w:ilvl w:val="0"/>
          <w:numId w:val="2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What vote is required to adopt the proposals?</w:t>
      </w:r>
    </w:p>
    <w:p>
      <w:pPr>
        <w:spacing w:after="0" w:line="225" w:lineRule="exact"/>
        <w:rPr>
          <w:rFonts w:ascii="Times New Roman" w:cs="Times New Roman" w:eastAsia="Times New Roman" w:hAnsi="Times New Roman"/>
          <w:sz w:val="18"/>
          <w:szCs w:val="18"/>
          <w:b w:val="1"/>
          <w:bCs w:val="1"/>
          <w:color w:val="auto"/>
        </w:rPr>
      </w:pPr>
    </w:p>
    <w:p>
      <w:pPr>
        <w:jc w:val="both"/>
        <w:ind w:left="380" w:right="20" w:hanging="372"/>
        <w:spacing w:after="0" w:line="268" w:lineRule="auto"/>
        <w:tabs>
          <w:tab w:leader="none" w:pos="38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Charter Amendment Proposal</w:t>
      </w:r>
      <w:r>
        <w:rPr>
          <w:rFonts w:ascii="Times New Roman" w:cs="Times New Roman" w:eastAsia="Times New Roman" w:hAnsi="Times New Roman"/>
          <w:sz w:val="18"/>
          <w:szCs w:val="18"/>
          <w:color w:val="auto"/>
        </w:rPr>
        <w:t>. The Extension Proposal must be approved by the affirmative vote of more than 65% of the holders of Common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Stock who, being present in person (including virtually) or represented by proxy and entitled to vote at the Special Meeting, vote at the Special Meeting.</w:t>
      </w:r>
    </w:p>
    <w:p>
      <w:pPr>
        <w:spacing w:after="0" w:line="170" w:lineRule="exact"/>
        <w:rPr>
          <w:rFonts w:ascii="Times New Roman" w:cs="Times New Roman" w:eastAsia="Times New Roman" w:hAnsi="Times New Roman"/>
          <w:sz w:val="18"/>
          <w:szCs w:val="18"/>
          <w:color w:val="auto"/>
        </w:rPr>
      </w:pPr>
    </w:p>
    <w:p>
      <w:pPr>
        <w:ind w:left="380" w:right="20"/>
        <w:spacing w:after="0" w:line="286"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Trust Amendment Proposal</w:t>
      </w:r>
      <w:r>
        <w:rPr>
          <w:rFonts w:ascii="Times New Roman" w:cs="Times New Roman" w:eastAsia="Times New Roman" w:hAnsi="Times New Roman"/>
          <w:sz w:val="18"/>
          <w:szCs w:val="18"/>
          <w:color w:val="auto"/>
        </w:rPr>
        <w:t>. The Extension Proposal must be approved by the affirmative vote of more than 65% of the holders of Common Stock</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who, being present in person (including virtually) or represented by proxy and entitled to vote at the Special Meeting, vote at the Special Meeting.</w:t>
      </w:r>
    </w:p>
    <w:p>
      <w:pPr>
        <w:spacing w:after="0" w:line="154" w:lineRule="exact"/>
        <w:rPr>
          <w:rFonts w:ascii="Times New Roman" w:cs="Times New Roman" w:eastAsia="Times New Roman" w:hAnsi="Times New Roman"/>
          <w:sz w:val="18"/>
          <w:szCs w:val="18"/>
          <w:color w:val="auto"/>
        </w:rPr>
      </w:pPr>
    </w:p>
    <w:p>
      <w:pPr>
        <w:ind w:left="380"/>
        <w:spacing w:after="0" w:line="286"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Adjournment Proposal</w:t>
      </w:r>
      <w:r>
        <w:rPr>
          <w:rFonts w:ascii="Times New Roman" w:cs="Times New Roman" w:eastAsia="Times New Roman" w:hAnsi="Times New Roman"/>
          <w:sz w:val="18"/>
          <w:szCs w:val="18"/>
          <w:color w:val="auto"/>
        </w:rPr>
        <w:t>. The Extension Proposal must be approved by the affirmative vote of more than 65% of the holders of Common Stock who,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being present in person (including virtually) or represented by proxy and entitled to vote at the Special Meeting, vote at the Special Meeting.</w:t>
      </w:r>
    </w:p>
    <w:p>
      <w:pPr>
        <w:spacing w:after="0" w:line="154" w:lineRule="exact"/>
        <w:rPr>
          <w:rFonts w:ascii="Times New Roman" w:cs="Times New Roman" w:eastAsia="Times New Roman" w:hAnsi="Times New Roman"/>
          <w:sz w:val="18"/>
          <w:szCs w:val="18"/>
          <w:color w:val="auto"/>
        </w:rPr>
      </w:pPr>
    </w:p>
    <w:p>
      <w:pPr>
        <w:ind w:left="380" w:hanging="372"/>
        <w:spacing w:after="0"/>
        <w:tabs>
          <w:tab w:leader="none" w:pos="380" w:val="left"/>
        </w:tabs>
        <w:numPr>
          <w:ilvl w:val="0"/>
          <w:numId w:val="2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What if I do not want to approve the Charter Amendment Proposal, the Trust Amendment Proposal or the Adjournment Proposal?</w:t>
      </w:r>
    </w:p>
    <w:p>
      <w:pPr>
        <w:spacing w:after="0" w:line="229" w:lineRule="exact"/>
        <w:rPr>
          <w:rFonts w:ascii="Times New Roman" w:cs="Times New Roman" w:eastAsia="Times New Roman" w:hAnsi="Times New Roman"/>
          <w:sz w:val="18"/>
          <w:szCs w:val="18"/>
          <w:b w:val="1"/>
          <w:bCs w:val="1"/>
          <w:color w:val="auto"/>
        </w:rPr>
      </w:pPr>
    </w:p>
    <w:p>
      <w:pPr>
        <w:jc w:val="both"/>
        <w:ind w:left="380" w:hanging="372"/>
        <w:spacing w:after="0" w:line="258" w:lineRule="auto"/>
        <w:tabs>
          <w:tab w:leader="none" w:pos="38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you do not want to approve the Charter Amendment Proposal, the Trust Amendment Proposal or the Adjournment Proposal, you must vote against each proposal. The approval of the Charter Amendment Proposal and the Trust Amendment Proposal are essential to the implementation of our board’s plan to extend the date by which we must consummate our initial business combination. Therefore, our board will abandon and not implement the Charter Amendment Proposal unless our stockholders approve both the Charter Amendment Proposal and the Trust Amendment Proposal. This means that if one proposal is approved by the stockholders and the other proposal is not, neither proposal will take effect.</w:t>
      </w:r>
    </w:p>
    <w:p>
      <w:pPr>
        <w:spacing w:after="0" w:line="179" w:lineRule="exact"/>
        <w:rPr>
          <w:rFonts w:ascii="Times New Roman" w:cs="Times New Roman" w:eastAsia="Times New Roman" w:hAnsi="Times New Roman"/>
          <w:sz w:val="18"/>
          <w:szCs w:val="18"/>
          <w:color w:val="auto"/>
        </w:rPr>
      </w:pPr>
    </w:p>
    <w:p>
      <w:pPr>
        <w:ind w:left="380" w:hanging="372"/>
        <w:spacing w:after="0"/>
        <w:tabs>
          <w:tab w:leader="none" w:pos="380" w:val="left"/>
        </w:tabs>
        <w:numPr>
          <w:ilvl w:val="0"/>
          <w:numId w:val="2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Will you seek any further extensions to liquidate the trust account?</w:t>
      </w:r>
    </w:p>
    <w:p>
      <w:pPr>
        <w:spacing w:after="0" w:line="229" w:lineRule="exact"/>
        <w:rPr>
          <w:rFonts w:ascii="Times New Roman" w:cs="Times New Roman" w:eastAsia="Times New Roman" w:hAnsi="Times New Roman"/>
          <w:sz w:val="18"/>
          <w:szCs w:val="18"/>
          <w:b w:val="1"/>
          <w:bCs w:val="1"/>
          <w:color w:val="auto"/>
        </w:rPr>
      </w:pPr>
    </w:p>
    <w:p>
      <w:pPr>
        <w:jc w:val="both"/>
        <w:ind w:left="380" w:hanging="372"/>
        <w:spacing w:after="0" w:line="266" w:lineRule="auto"/>
        <w:tabs>
          <w:tab w:leader="none" w:pos="38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than the six (6) month-to-month Extensions from March 15, 2023 until September 15, 2023, the Extended Termination Date, as applicable, as of the date of this proxy statement, we do not anticipate seeking any further extension to consummate a business combination, although we may determine to do so in the future, if necessary.</w:t>
      </w:r>
    </w:p>
    <w:p>
      <w:pPr>
        <w:spacing w:after="0" w:line="171" w:lineRule="exact"/>
        <w:rPr>
          <w:rFonts w:ascii="Times New Roman" w:cs="Times New Roman" w:eastAsia="Times New Roman" w:hAnsi="Times New Roman"/>
          <w:sz w:val="18"/>
          <w:szCs w:val="18"/>
          <w:color w:val="auto"/>
        </w:rPr>
      </w:pPr>
    </w:p>
    <w:p>
      <w:pPr>
        <w:ind w:left="380" w:hanging="372"/>
        <w:spacing w:after="0"/>
        <w:tabs>
          <w:tab w:leader="none" w:pos="380" w:val="left"/>
        </w:tabs>
        <w:numPr>
          <w:ilvl w:val="0"/>
          <w:numId w:val="3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What happens if the Charter Amendment Proposal and the Trust Amendment Proposal are not approved?</w:t>
      </w:r>
    </w:p>
    <w:p>
      <w:pPr>
        <w:spacing w:after="0" w:line="229" w:lineRule="exact"/>
        <w:rPr>
          <w:rFonts w:ascii="Times New Roman" w:cs="Times New Roman" w:eastAsia="Times New Roman" w:hAnsi="Times New Roman"/>
          <w:sz w:val="18"/>
          <w:szCs w:val="18"/>
          <w:b w:val="1"/>
          <w:bCs w:val="1"/>
          <w:color w:val="auto"/>
        </w:rPr>
      </w:pPr>
    </w:p>
    <w:p>
      <w:pPr>
        <w:jc w:val="both"/>
        <w:ind w:left="380" w:hanging="372"/>
        <w:spacing w:after="0" w:line="261" w:lineRule="auto"/>
        <w:tabs>
          <w:tab w:leader="none" w:pos="38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Charter Amendment Proposal and the Trust Amendment Proposal are not approved at the Special Meeting, and we have not consummated a Business Combination by March 15, 2023, it will trigger our automatic winding up, liquidation and dissolution of the Company pursuant to the terms of our Charter. No vote would be required from our stockholders to commence such a voluntary winding up, liquidation and dissolution under the terms of our Charter.</w:t>
      </w:r>
    </w:p>
    <w:p>
      <w:pPr>
        <w:spacing w:after="0" w:line="180"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If we are forced to liquidate the Trust Account, we anticipate that we would distribute to our Public Stockholders the amount in the trust account calculated as of the date that is two days prior to the distribution date (including any accrued interest). Prior to such distribution, we would be required to assess all claims that may be potentially brought against us by our creditors for amounts they are actually owed and make provision for such amounts, as creditors take priority over our Public Stockholders with respect to amounts that are owed to them. We cannot assure you that we will properly assess all claims that may be potentially brought against us. As such, our stockholders could potentially be liable for any claims of creditors to the extent of distributions received by them as an unlawful payment in the event we enter an insolvent liquidation. Furthermore, while we will seek to have all vendors and service providers (which would include any third parties we engaged to assist us in any way in connection with our search for a target business) and prospective target businesses execute agreements with us waiving any right, title, interest or claim of any kind they may have in or to any monies held in the trust account, there is no guarantee that they will execute such agreements. Nor is there any guarantee that, even if such entities execute such agreements with us, they will not seek recourse against the trust account or that a court would conclude that such agreements are legally enforceable.</w:t>
      </w:r>
    </w:p>
    <w:p>
      <w:pPr>
        <w:spacing w:after="0" w:line="190"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18"/>
          <w:szCs w:val="18"/>
          <w:color w:val="auto"/>
        </w:rPr>
        <w:t>Our stockholders as of immediately prior to our IPO, including our Sponsor (our “</w:t>
      </w:r>
      <w:r>
        <w:rPr>
          <w:rFonts w:ascii="Times New Roman" w:cs="Times New Roman" w:eastAsia="Times New Roman" w:hAnsi="Times New Roman"/>
          <w:sz w:val="18"/>
          <w:szCs w:val="18"/>
          <w:b w:val="1"/>
          <w:bCs w:val="1"/>
          <w:u w:val="single" w:color="auto"/>
          <w:color w:val="auto"/>
        </w:rPr>
        <w:t>Initial Stockholders</w:t>
      </w:r>
      <w:r>
        <w:rPr>
          <w:rFonts w:ascii="Times New Roman" w:cs="Times New Roman" w:eastAsia="Times New Roman" w:hAnsi="Times New Roman"/>
          <w:sz w:val="18"/>
          <w:szCs w:val="18"/>
          <w:color w:val="auto"/>
        </w:rPr>
        <w:t>”) and the Representative, have agreed to waive their rights to participate in any liquidation of our trust account or other assets with respect to the shares of Class B common stock held or controlled by our Initial Stockholders prior to the IPO (“</w:t>
      </w:r>
      <w:r>
        <w:rPr>
          <w:rFonts w:ascii="Times New Roman" w:cs="Times New Roman" w:eastAsia="Times New Roman" w:hAnsi="Times New Roman"/>
          <w:sz w:val="18"/>
          <w:szCs w:val="18"/>
          <w:b w:val="1"/>
          <w:bCs w:val="1"/>
          <w:u w:val="single" w:color="auto"/>
          <w:color w:val="auto"/>
        </w:rPr>
        <w:t>Founder Shares</w:t>
      </w:r>
      <w:r>
        <w:rPr>
          <w:rFonts w:ascii="Times New Roman" w:cs="Times New Roman" w:eastAsia="Times New Roman" w:hAnsi="Times New Roman"/>
          <w:sz w:val="18"/>
          <w:szCs w:val="18"/>
          <w:color w:val="auto"/>
        </w:rPr>
        <w:t>”), the Representative Shares and the Private Placement Shares purchased simultaneously with the consummation of the IPO, and to vote their Founder Shares, Representative Shares and Private Placement Shares in favor of any dissolution and plan of distribution which we submit to a vote of stockholders. There will be no distribution from the Trust Account with respect to our warrants, which will expire worthless in the event of our winding up.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421005</wp:posOffset>
            </wp:positionV>
            <wp:extent cx="7132320"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15" w:name="page16"/>
    <w:bookmarkEnd w:id="15"/>
    <w:p>
      <w:pPr>
        <w:ind w:left="380" w:hanging="372"/>
        <w:spacing w:after="0"/>
        <w:tabs>
          <w:tab w:leader="none" w:pos="380" w:val="left"/>
        </w:tabs>
        <w:numPr>
          <w:ilvl w:val="0"/>
          <w:numId w:val="3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What happens to the Company’s warrants if the Extension Amendment Proposal is approved?</w:t>
      </w:r>
    </w:p>
    <w:p>
      <w:pPr>
        <w:spacing w:after="0" w:line="229" w:lineRule="exact"/>
        <w:rPr>
          <w:rFonts w:ascii="Times New Roman" w:cs="Times New Roman" w:eastAsia="Times New Roman" w:hAnsi="Times New Roman"/>
          <w:sz w:val="18"/>
          <w:szCs w:val="18"/>
          <w:b w:val="1"/>
          <w:bCs w:val="1"/>
          <w:color w:val="auto"/>
        </w:rPr>
      </w:pPr>
    </w:p>
    <w:p>
      <w:pPr>
        <w:jc w:val="both"/>
        <w:ind w:left="380" w:hanging="372"/>
        <w:spacing w:after="0" w:line="258" w:lineRule="auto"/>
        <w:tabs>
          <w:tab w:leader="none" w:pos="38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Extension Proposal and the Trust Amendment Proposal are approved, we will retain the blank check company restrictions previously applicable to us and continue to attempt to consummate a Business Combination until the Extended Termination Date. The public warrants will remain outstanding and only become exercisable 30 days after the completion of a Business Combination, provided that we have an effective registration statement under the Securities Act covering the shares of Class A common stock issuable upon exercise of the warrants and a current prospectus relating to them is available (or we permit holders to exercise warrants on a cashless basis).</w:t>
      </w:r>
    </w:p>
    <w:p>
      <w:pPr>
        <w:spacing w:after="0" w:line="179" w:lineRule="exact"/>
        <w:rPr>
          <w:rFonts w:ascii="Times New Roman" w:cs="Times New Roman" w:eastAsia="Times New Roman" w:hAnsi="Times New Roman"/>
          <w:sz w:val="18"/>
          <w:szCs w:val="18"/>
          <w:color w:val="auto"/>
        </w:rPr>
      </w:pPr>
    </w:p>
    <w:p>
      <w:pPr>
        <w:ind w:left="380" w:hanging="372"/>
        <w:spacing w:after="0"/>
        <w:tabs>
          <w:tab w:leader="none" w:pos="380" w:val="left"/>
        </w:tabs>
        <w:numPr>
          <w:ilvl w:val="0"/>
          <w:numId w:val="3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If the Extension Proposal and the Trust Amendment Proposal are approved, what happens next?</w:t>
      </w:r>
    </w:p>
    <w:p>
      <w:pPr>
        <w:spacing w:after="0" w:line="229" w:lineRule="exact"/>
        <w:rPr>
          <w:rFonts w:ascii="Times New Roman" w:cs="Times New Roman" w:eastAsia="Times New Roman" w:hAnsi="Times New Roman"/>
          <w:sz w:val="18"/>
          <w:szCs w:val="18"/>
          <w:b w:val="1"/>
          <w:bCs w:val="1"/>
          <w:color w:val="auto"/>
        </w:rPr>
      </w:pPr>
    </w:p>
    <w:p>
      <w:pPr>
        <w:jc w:val="both"/>
        <w:ind w:left="380" w:hanging="372"/>
        <w:spacing w:after="0" w:line="258" w:lineRule="auto"/>
        <w:tabs>
          <w:tab w:leader="none" w:pos="38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Charter Amendment Proposal and the Trust Amendment Proposal are approved, the Company will continue to attempt to consummate the Initial Business Combination until the Extended Termination Date on September 15, 2023, until the Extended Termination Date, as applicable, or an earlier date on which the Board otherwise determines in its sole discretion that it will not be able to consummate an Initial Business Combination by the Extended Termination Date or September 15, 2023, and does not wish to seek an additional extension. We will remain a reporting company under the Exchange Act and our units, Class A common stock and public warrants will remain publicly traded.</w:t>
      </w:r>
    </w:p>
    <w:p>
      <w:pPr>
        <w:spacing w:after="0" w:line="18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If the Charter Amendment Proposal and the Trust Amendment Proposal are approved, the removal of the Withdrawal Amount from the Trust Account, if any, will reduce the amount remaining in the Trust Account and increase the percentage interest of Company shares of Common Stock held by the Company’s officers, directors and their affiliates.</w:t>
      </w:r>
    </w:p>
    <w:p>
      <w:pPr>
        <w:spacing w:after="0" w:line="172" w:lineRule="exact"/>
        <w:rPr>
          <w:sz w:val="20"/>
          <w:szCs w:val="20"/>
          <w:color w:val="auto"/>
        </w:rPr>
      </w:pPr>
    </w:p>
    <w:p>
      <w:pPr>
        <w:ind w:left="380" w:hanging="372"/>
        <w:spacing w:after="0"/>
        <w:tabs>
          <w:tab w:leader="none" w:pos="380" w:val="left"/>
        </w:tabs>
        <w:numPr>
          <w:ilvl w:val="0"/>
          <w:numId w:val="3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Would I still be able to exercise my redemption rights in the future if I vote against any subsequently initial business combination?</w:t>
      </w:r>
    </w:p>
    <w:p>
      <w:pPr>
        <w:spacing w:after="0" w:line="229" w:lineRule="exact"/>
        <w:rPr>
          <w:rFonts w:ascii="Times New Roman" w:cs="Times New Roman" w:eastAsia="Times New Roman" w:hAnsi="Times New Roman"/>
          <w:sz w:val="18"/>
          <w:szCs w:val="18"/>
          <w:b w:val="1"/>
          <w:bCs w:val="1"/>
          <w:color w:val="auto"/>
        </w:rPr>
      </w:pPr>
    </w:p>
    <w:p>
      <w:pPr>
        <w:jc w:val="both"/>
        <w:ind w:left="380" w:hanging="372"/>
        <w:spacing w:after="0" w:line="258" w:lineRule="auto"/>
        <w:tabs>
          <w:tab w:leader="none" w:pos="38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Unless you elect to redeem your shares in connection with this stockholder vote to approve the Charter Amendment Proposal and the Trust Amendment Proposal, you will be able to vote on any subsequent Initial Business combination when it is submitted to Stockholders. If you disagree with the Initial Business Combination, you will retain your right to vote against it and/or redeem your Public Shares upon consummation of the Initial Business Combination in connection with the stockholder vote to approve such business combination, subject to any limitations set forth in the Charter.</w:t>
      </w:r>
    </w:p>
    <w:p>
      <w:pPr>
        <w:spacing w:after="0" w:line="179" w:lineRule="exact"/>
        <w:rPr>
          <w:rFonts w:ascii="Times New Roman" w:cs="Times New Roman" w:eastAsia="Times New Roman" w:hAnsi="Times New Roman"/>
          <w:sz w:val="18"/>
          <w:szCs w:val="18"/>
          <w:color w:val="auto"/>
        </w:rPr>
      </w:pPr>
    </w:p>
    <w:p>
      <w:pPr>
        <w:ind w:left="380" w:hanging="372"/>
        <w:spacing w:after="0"/>
        <w:tabs>
          <w:tab w:leader="none" w:pos="380" w:val="left"/>
        </w:tabs>
        <w:numPr>
          <w:ilvl w:val="0"/>
          <w:numId w:val="3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How do I change my vote?</w:t>
      </w:r>
    </w:p>
    <w:p>
      <w:pPr>
        <w:spacing w:after="0" w:line="229" w:lineRule="exact"/>
        <w:rPr>
          <w:rFonts w:ascii="Times New Roman" w:cs="Times New Roman" w:eastAsia="Times New Roman" w:hAnsi="Times New Roman"/>
          <w:sz w:val="18"/>
          <w:szCs w:val="18"/>
          <w:b w:val="1"/>
          <w:bCs w:val="1"/>
          <w:color w:val="auto"/>
        </w:rPr>
      </w:pPr>
    </w:p>
    <w:p>
      <w:pPr>
        <w:jc w:val="both"/>
        <w:ind w:left="380" w:hanging="372"/>
        <w:spacing w:after="0" w:line="266" w:lineRule="auto"/>
        <w:tabs>
          <w:tab w:leader="none" w:pos="38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you have submitted a proxy to vote your shares and wish to change your vote, or revoke your proxy, you may do so by delivering a later-dated, signed proxy card to [Proxy Agent] Proxy, Inc. the Company’s proxy solicitation agent at: Toll Free: [*]; Collect: [*], Email: [*], prior to the commencement of the Special Meeting.</w:t>
      </w:r>
    </w:p>
    <w:p>
      <w:pPr>
        <w:spacing w:after="0" w:line="171" w:lineRule="exact"/>
        <w:rPr>
          <w:rFonts w:ascii="Times New Roman" w:cs="Times New Roman" w:eastAsia="Times New Roman" w:hAnsi="Times New Roman"/>
          <w:sz w:val="18"/>
          <w:szCs w:val="18"/>
          <w:color w:val="auto"/>
        </w:rPr>
      </w:pPr>
    </w:p>
    <w:p>
      <w:pPr>
        <w:ind w:left="380" w:hanging="372"/>
        <w:spacing w:after="0"/>
        <w:tabs>
          <w:tab w:leader="none" w:pos="380" w:val="left"/>
        </w:tabs>
        <w:numPr>
          <w:ilvl w:val="0"/>
          <w:numId w:val="4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How are votes counted?</w:t>
      </w:r>
    </w:p>
    <w:p>
      <w:pPr>
        <w:spacing w:after="0" w:line="229" w:lineRule="exact"/>
        <w:rPr>
          <w:rFonts w:ascii="Times New Roman" w:cs="Times New Roman" w:eastAsia="Times New Roman" w:hAnsi="Times New Roman"/>
          <w:sz w:val="18"/>
          <w:szCs w:val="18"/>
          <w:b w:val="1"/>
          <w:bCs w:val="1"/>
          <w:color w:val="auto"/>
        </w:rPr>
      </w:pPr>
    </w:p>
    <w:p>
      <w:pPr>
        <w:ind w:left="380" w:hanging="372"/>
        <w:spacing w:after="0" w:line="282" w:lineRule="auto"/>
        <w:tabs>
          <w:tab w:leader="none" w:pos="38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Company’s proxy agent, [Proxy Agent] will be appointed as inspector of election for the meeting. Votes will be counted by the inspector of election, who will separately count “FOR” and “AGAINST” votes, abstentions, and broker non-votes.</w:t>
      </w:r>
    </w:p>
    <w:p>
      <w:pPr>
        <w:spacing w:after="0" w:line="157" w:lineRule="exact"/>
        <w:rPr>
          <w:rFonts w:ascii="Times New Roman" w:cs="Times New Roman" w:eastAsia="Times New Roman" w:hAnsi="Times New Roman"/>
          <w:sz w:val="18"/>
          <w:szCs w:val="18"/>
          <w:color w:val="auto"/>
        </w:rPr>
      </w:pPr>
    </w:p>
    <w:p>
      <w:pPr>
        <w:jc w:val="both"/>
        <w:ind w:left="380" w:right="20"/>
        <w:spacing w:after="0" w:line="268"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Charter Amendment Proposal</w:t>
      </w:r>
      <w:r>
        <w:rPr>
          <w:rFonts w:ascii="Times New Roman" w:cs="Times New Roman" w:eastAsia="Times New Roman" w:hAnsi="Times New Roman"/>
          <w:sz w:val="18"/>
          <w:szCs w:val="18"/>
          <w:color w:val="auto"/>
        </w:rPr>
        <w:t>. The Extension Proposal must be approved by the affirmative vote of more than 65% of the holders of Common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Stock who, being present in person (including virtually) or represented by proxy and entitled to vote at the Special Meeting, vote at the Special Meeting.</w:t>
      </w:r>
    </w:p>
    <w:p>
      <w:pPr>
        <w:spacing w:after="0" w:line="170" w:lineRule="exact"/>
        <w:rPr>
          <w:rFonts w:ascii="Times New Roman" w:cs="Times New Roman" w:eastAsia="Times New Roman" w:hAnsi="Times New Roman"/>
          <w:sz w:val="18"/>
          <w:szCs w:val="18"/>
          <w:color w:val="auto"/>
        </w:rPr>
      </w:pPr>
    </w:p>
    <w:p>
      <w:pPr>
        <w:ind w:left="380"/>
        <w:spacing w:after="0" w:line="286"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Trust Amendment Proposal</w:t>
      </w:r>
      <w:r>
        <w:rPr>
          <w:rFonts w:ascii="Times New Roman" w:cs="Times New Roman" w:eastAsia="Times New Roman" w:hAnsi="Times New Roman"/>
          <w:sz w:val="18"/>
          <w:szCs w:val="18"/>
          <w:color w:val="auto"/>
        </w:rPr>
        <w:t>. The Extension Proposal must be approved by the affirmative vote of more than 65% of the holders of Common Stock</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who, being present in person (including virtually) or represented by proxy and entitled to vote at the Special Meeting, vote at the Special Meeting.</w:t>
      </w:r>
    </w:p>
    <w:p>
      <w:pPr>
        <w:spacing w:after="0" w:line="154" w:lineRule="exact"/>
        <w:rPr>
          <w:rFonts w:ascii="Times New Roman" w:cs="Times New Roman" w:eastAsia="Times New Roman" w:hAnsi="Times New Roman"/>
          <w:sz w:val="18"/>
          <w:szCs w:val="18"/>
          <w:color w:val="auto"/>
        </w:rPr>
      </w:pPr>
    </w:p>
    <w:p>
      <w:pPr>
        <w:ind w:left="380"/>
        <w:spacing w:after="0" w:line="286"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Adjournment Proposal</w:t>
      </w:r>
      <w:r>
        <w:rPr>
          <w:rFonts w:ascii="Times New Roman" w:cs="Times New Roman" w:eastAsia="Times New Roman" w:hAnsi="Times New Roman"/>
          <w:sz w:val="18"/>
          <w:szCs w:val="18"/>
          <w:color w:val="auto"/>
        </w:rPr>
        <w:t>. The Extension Proposal must be approved by the affirmative vote of a majority of the holders of Common Stock who, being</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present in person (including virtually) or represented by proxy and entitled to vote at the Special Meeting, vote at the Special Meeting.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403860</wp:posOffset>
            </wp:positionV>
            <wp:extent cx="7132320"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16" w:name="page17"/>
    <w:bookmarkEnd w:id="16"/>
    <w:p>
      <w:pPr>
        <w:jc w:val="both"/>
        <w:spacing w:after="0" w:line="266" w:lineRule="auto"/>
        <w:rPr>
          <w:sz w:val="20"/>
          <w:szCs w:val="20"/>
          <w:color w:val="auto"/>
        </w:rPr>
      </w:pPr>
      <w:r>
        <w:rPr>
          <w:rFonts w:ascii="Times New Roman" w:cs="Times New Roman" w:eastAsia="Times New Roman" w:hAnsi="Times New Roman"/>
          <w:sz w:val="18"/>
          <w:szCs w:val="18"/>
          <w:color w:val="auto"/>
        </w:rPr>
        <w:t>Abstentions and broker non-votes, while considered present for the purposes of establishing a quorum, are not treated as votes cast and will have no effect on the proposals. As a result, if you abstain from voting on any of the proposals, your shares will be counted as present for purposes of establishing a quorum (if so present in accordance with the terms of our Charter), but the abstention will have no effect on the outcome of such proposal.</w:t>
      </w:r>
    </w:p>
    <w:p>
      <w:pPr>
        <w:spacing w:after="0" w:line="176" w:lineRule="exact"/>
        <w:rPr>
          <w:sz w:val="20"/>
          <w:szCs w:val="20"/>
          <w:color w:val="auto"/>
        </w:rPr>
      </w:pPr>
    </w:p>
    <w:p>
      <w:pPr>
        <w:jc w:val="both"/>
        <w:ind w:right="20"/>
        <w:spacing w:after="0" w:line="258" w:lineRule="auto"/>
        <w:rPr>
          <w:sz w:val="20"/>
          <w:szCs w:val="20"/>
          <w:color w:val="auto"/>
        </w:rPr>
      </w:pPr>
      <w:r>
        <w:rPr>
          <w:rFonts w:ascii="Times New Roman" w:cs="Times New Roman" w:eastAsia="Times New Roman" w:hAnsi="Times New Roman"/>
          <w:sz w:val="18"/>
          <w:szCs w:val="18"/>
          <w:color w:val="auto"/>
        </w:rPr>
        <w:t>If you do not want to approve the Charter Amendment Proposal, the Trust Amendment Proposal or the Adjournment Proposal, you must vote against each proposal. The approval of the Charter Amendment Proposal and the Trust Amendment Proposal are essential to the implementation of our board’s plan to extend the date by which we must consummate our initial business combination. Therefore, our board will abandon and not implement the Charter Amendment Proposal unless our stockholders approve both the Charter Amendment Proposal and the Trust Amendment Proposal. This means that if one proposal is approved by the stockholders and the other proposal is not, neither proposal will take effect.</w:t>
      </w:r>
    </w:p>
    <w:p>
      <w:pPr>
        <w:spacing w:after="0" w:line="179" w:lineRule="exact"/>
        <w:rPr>
          <w:sz w:val="20"/>
          <w:szCs w:val="20"/>
          <w:color w:val="auto"/>
        </w:rPr>
      </w:pPr>
    </w:p>
    <w:p>
      <w:pPr>
        <w:spacing w:after="0"/>
        <w:tabs>
          <w:tab w:leader="none" w:pos="360" w:val="left"/>
        </w:tabs>
        <w:rPr>
          <w:sz w:val="20"/>
          <w:szCs w:val="20"/>
          <w:color w:val="auto"/>
        </w:rPr>
      </w:pPr>
      <w:r>
        <w:rPr>
          <w:rFonts w:ascii="Times New Roman" w:cs="Times New Roman" w:eastAsia="Times New Roman" w:hAnsi="Times New Roman"/>
          <w:sz w:val="18"/>
          <w:szCs w:val="18"/>
          <w:b w:val="1"/>
          <w:bCs w:val="1"/>
          <w:color w:val="auto"/>
        </w:rPr>
        <w:t>Q:</w:t>
      </w:r>
      <w:r>
        <w:rPr>
          <w:sz w:val="20"/>
          <w:szCs w:val="20"/>
          <w:color w:val="auto"/>
        </w:rPr>
        <w:tab/>
      </w:r>
      <w:r>
        <w:rPr>
          <w:rFonts w:ascii="Times New Roman" w:cs="Times New Roman" w:eastAsia="Times New Roman" w:hAnsi="Times New Roman"/>
          <w:sz w:val="17"/>
          <w:szCs w:val="17"/>
          <w:b w:val="1"/>
          <w:bCs w:val="1"/>
          <w:color w:val="auto"/>
        </w:rPr>
        <w:t>If my shares are held in “street name” by my bank, brokerage firm or nominee, will they automatically vote my shares for me?</w:t>
      </w:r>
    </w:p>
    <w:p>
      <w:pPr>
        <w:spacing w:after="0" w:line="229" w:lineRule="exact"/>
        <w:rPr>
          <w:sz w:val="20"/>
          <w:szCs w:val="20"/>
          <w:color w:val="auto"/>
        </w:rPr>
      </w:pPr>
    </w:p>
    <w:p>
      <w:pPr>
        <w:jc w:val="both"/>
        <w:ind w:left="380" w:hanging="372"/>
        <w:spacing w:after="0" w:line="254" w:lineRule="auto"/>
        <w:tabs>
          <w:tab w:leader="none" w:pos="38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If you are a beneficial owner and you do not provide voting instructions to your broker, bank or other holder of record holding shares for you, your shares will not be voted with respect to any proposal for which your broker does not have discretionary authority to vote. If a proposal is determined to be discretionary, your broker, bank or other holder of record is permitted to vote on the proposal without receiving voting instructions from you. If a proposal is determined to be non-discretionary, your broker, bank or other holder of record is not permitted to vote on the proposal without receiving voting instructions from you. The Company believes that the Charter Amendment Proposal and the Trust Amendment Proposal will be considered non-discretionary and therefore your broker, bank or other holder of record holding your shares for you cannot vote your shares without your instruction on any of the proposals presented. A “broker non-vote” occurs when a bank, broker or other holder of record holding shares for a beneficial owner does not vote on a non-discretionary Proposal because the holder of record has not received voting instructions from the beneficial owner.</w:t>
      </w:r>
    </w:p>
    <w:p>
      <w:pPr>
        <w:spacing w:after="0" w:line="18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Abstentions and broker non-votes, while considered present for the purposes of establishing a quorum, are not treated as votes cast and will have no effect on the Proposals. As a result, if you abstain from voting on any of the Proposals, your shares will be counted as present for purposes of establishing a quorum (if so present in accordance with the terms of the Charter), but the abstention will have no effect on the outcome of such proposal.</w:t>
      </w:r>
    </w:p>
    <w:p>
      <w:pPr>
        <w:spacing w:after="0" w:line="172" w:lineRule="exact"/>
        <w:rPr>
          <w:sz w:val="20"/>
          <w:szCs w:val="20"/>
          <w:color w:val="auto"/>
        </w:rPr>
      </w:pPr>
    </w:p>
    <w:p>
      <w:pPr>
        <w:spacing w:after="0"/>
        <w:tabs>
          <w:tab w:leader="none" w:pos="360" w:val="left"/>
        </w:tabs>
        <w:rPr>
          <w:sz w:val="20"/>
          <w:szCs w:val="20"/>
          <w:color w:val="auto"/>
        </w:rPr>
      </w:pPr>
      <w:r>
        <w:rPr>
          <w:rFonts w:ascii="Times New Roman" w:cs="Times New Roman" w:eastAsia="Times New Roman" w:hAnsi="Times New Roman"/>
          <w:sz w:val="18"/>
          <w:szCs w:val="18"/>
          <w:b w:val="1"/>
          <w:bCs w:val="1"/>
          <w:color w:val="auto"/>
        </w:rPr>
        <w:t>Q:</w:t>
      </w:r>
      <w:r>
        <w:rPr>
          <w:sz w:val="20"/>
          <w:szCs w:val="20"/>
          <w:color w:val="auto"/>
        </w:rPr>
        <w:tab/>
      </w:r>
      <w:r>
        <w:rPr>
          <w:rFonts w:ascii="Times New Roman" w:cs="Times New Roman" w:eastAsia="Times New Roman" w:hAnsi="Times New Roman"/>
          <w:sz w:val="17"/>
          <w:szCs w:val="17"/>
          <w:b w:val="1"/>
          <w:bCs w:val="1"/>
          <w:color w:val="auto"/>
        </w:rPr>
        <w:t>What will happen if I abstain from voting or fail to vote at the Special Meeting?</w:t>
      </w:r>
    </w:p>
    <w:p>
      <w:pPr>
        <w:spacing w:after="0" w:line="229" w:lineRule="exact"/>
        <w:rPr>
          <w:sz w:val="20"/>
          <w:szCs w:val="20"/>
          <w:color w:val="auto"/>
        </w:rPr>
      </w:pPr>
    </w:p>
    <w:p>
      <w:pPr>
        <w:ind w:left="380" w:hanging="372"/>
        <w:spacing w:after="0" w:line="282" w:lineRule="auto"/>
        <w:tabs>
          <w:tab w:leader="none" w:pos="38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the Special Meeting, BurTech will count a properly executed proxy marked “ABSTAIN” with respect to a particular proposal as present for purposes of determining whether a quorum is present. Abstentions will have no effect on the outcome of the vote on any of the proposals.</w:t>
      </w:r>
    </w:p>
    <w:p>
      <w:pPr>
        <w:spacing w:after="0" w:line="16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If a stockholder who holds share in “street name” does not give the broker voting instructions, the broker is not permitted under applicable self-regulatory organization rules to vote the shares on “non-routine” proposals, such as the Charter Amendment Proposal and the Trust Amendment Proposal. These “broker non-votes” will also count as present for purposes of determining whether a quorum is present and will have no effect on the outcome of the vote on any of the Proposals.</w:t>
      </w:r>
    </w:p>
    <w:p>
      <w:pPr>
        <w:spacing w:after="0" w:line="176" w:lineRule="exact"/>
        <w:rPr>
          <w:sz w:val="20"/>
          <w:szCs w:val="20"/>
          <w:color w:val="auto"/>
        </w:rPr>
      </w:pPr>
    </w:p>
    <w:p>
      <w:pPr>
        <w:spacing w:after="0"/>
        <w:tabs>
          <w:tab w:leader="none" w:pos="360" w:val="left"/>
        </w:tabs>
        <w:rPr>
          <w:sz w:val="20"/>
          <w:szCs w:val="20"/>
          <w:color w:val="auto"/>
        </w:rPr>
      </w:pPr>
      <w:r>
        <w:rPr>
          <w:rFonts w:ascii="Times New Roman" w:cs="Times New Roman" w:eastAsia="Times New Roman" w:hAnsi="Times New Roman"/>
          <w:sz w:val="18"/>
          <w:szCs w:val="18"/>
          <w:b w:val="1"/>
          <w:bCs w:val="1"/>
          <w:color w:val="auto"/>
        </w:rPr>
        <w:t>Q:</w:t>
      </w:r>
      <w:r>
        <w:rPr>
          <w:sz w:val="20"/>
          <w:szCs w:val="20"/>
          <w:color w:val="auto"/>
        </w:rPr>
        <w:tab/>
      </w:r>
      <w:r>
        <w:rPr>
          <w:rFonts w:ascii="Times New Roman" w:cs="Times New Roman" w:eastAsia="Times New Roman" w:hAnsi="Times New Roman"/>
          <w:sz w:val="17"/>
          <w:szCs w:val="17"/>
          <w:b w:val="1"/>
          <w:bCs w:val="1"/>
          <w:color w:val="auto"/>
        </w:rPr>
        <w:t>What will happen if I sign and return my proxy card without indicating how I wish to vote?</w:t>
      </w:r>
    </w:p>
    <w:p>
      <w:pPr>
        <w:spacing w:after="0" w:line="229" w:lineRule="exact"/>
        <w:rPr>
          <w:sz w:val="20"/>
          <w:szCs w:val="20"/>
          <w:color w:val="auto"/>
        </w:rPr>
      </w:pPr>
    </w:p>
    <w:p>
      <w:pPr>
        <w:ind w:left="380" w:hanging="372"/>
        <w:spacing w:after="0" w:line="282" w:lineRule="auto"/>
        <w:tabs>
          <w:tab w:leader="none" w:pos="38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Signed and dated proxies received by BurTech without an indication of how the stockholder intends to vote on a proposal will be voted as recommended by the Board.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405765</wp:posOffset>
            </wp:positionV>
            <wp:extent cx="7132320"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7" w:name="page18"/>
    <w:bookmarkEnd w:id="17"/>
    <w:p>
      <w:pPr>
        <w:spacing w:after="0"/>
        <w:tabs>
          <w:tab w:leader="none" w:pos="360" w:val="left"/>
        </w:tabs>
        <w:rPr>
          <w:sz w:val="20"/>
          <w:szCs w:val="20"/>
          <w:color w:val="auto"/>
        </w:rPr>
      </w:pPr>
      <w:r>
        <w:rPr>
          <w:rFonts w:ascii="Times New Roman" w:cs="Times New Roman" w:eastAsia="Times New Roman" w:hAnsi="Times New Roman"/>
          <w:sz w:val="18"/>
          <w:szCs w:val="18"/>
          <w:b w:val="1"/>
          <w:bCs w:val="1"/>
          <w:color w:val="auto"/>
        </w:rPr>
        <w:t>Q:</w:t>
      </w:r>
      <w:r>
        <w:rPr>
          <w:sz w:val="20"/>
          <w:szCs w:val="20"/>
          <w:color w:val="auto"/>
        </w:rPr>
        <w:tab/>
      </w:r>
      <w:r>
        <w:rPr>
          <w:rFonts w:ascii="Times New Roman" w:cs="Times New Roman" w:eastAsia="Times New Roman" w:hAnsi="Times New Roman"/>
          <w:sz w:val="17"/>
          <w:szCs w:val="17"/>
          <w:b w:val="1"/>
          <w:bCs w:val="1"/>
          <w:color w:val="auto"/>
        </w:rPr>
        <w:t>If I am not going to attend the Special Meeting, should I return my proxy card instead?</w:t>
      </w:r>
    </w:p>
    <w:p>
      <w:pPr>
        <w:spacing w:after="0" w:line="229" w:lineRule="exact"/>
        <w:rPr>
          <w:sz w:val="20"/>
          <w:szCs w:val="20"/>
          <w:color w:val="auto"/>
        </w:rPr>
      </w:pPr>
    </w:p>
    <w:p>
      <w:pPr>
        <w:ind w:left="380" w:hanging="372"/>
        <w:spacing w:after="0" w:line="282" w:lineRule="auto"/>
        <w:tabs>
          <w:tab w:leader="none" w:pos="38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Yes. Whether you plan to attend the Special Meeting virtually or not, please read the proxy statement carefully, and vote your shares by completing, signing, dating and returning the enclosed proxy card in the postage-paid envelope provided.</w:t>
      </w:r>
    </w:p>
    <w:p>
      <w:pPr>
        <w:spacing w:after="0" w:line="158" w:lineRule="exact"/>
        <w:rPr>
          <w:sz w:val="20"/>
          <w:szCs w:val="20"/>
          <w:color w:val="auto"/>
        </w:rPr>
      </w:pPr>
    </w:p>
    <w:p>
      <w:pPr>
        <w:spacing w:after="0"/>
        <w:tabs>
          <w:tab w:leader="none" w:pos="360" w:val="left"/>
        </w:tabs>
        <w:rPr>
          <w:sz w:val="20"/>
          <w:szCs w:val="20"/>
          <w:color w:val="auto"/>
        </w:rPr>
      </w:pPr>
      <w:r>
        <w:rPr>
          <w:rFonts w:ascii="Times New Roman" w:cs="Times New Roman" w:eastAsia="Times New Roman" w:hAnsi="Times New Roman"/>
          <w:sz w:val="18"/>
          <w:szCs w:val="18"/>
          <w:b w:val="1"/>
          <w:bCs w:val="1"/>
          <w:color w:val="auto"/>
        </w:rPr>
        <w:t>Q:</w:t>
      </w:r>
      <w:r>
        <w:rPr>
          <w:sz w:val="20"/>
          <w:szCs w:val="20"/>
          <w:color w:val="auto"/>
        </w:rPr>
        <w:tab/>
      </w:r>
      <w:r>
        <w:rPr>
          <w:rFonts w:ascii="Times New Roman" w:cs="Times New Roman" w:eastAsia="Times New Roman" w:hAnsi="Times New Roman"/>
          <w:sz w:val="17"/>
          <w:szCs w:val="17"/>
          <w:b w:val="1"/>
          <w:bCs w:val="1"/>
          <w:color w:val="auto"/>
        </w:rPr>
        <w:t>May I change my vote after I have mailed my signed proxy card?</w:t>
      </w:r>
    </w:p>
    <w:p>
      <w:pPr>
        <w:spacing w:after="0" w:line="229" w:lineRule="exact"/>
        <w:rPr>
          <w:sz w:val="20"/>
          <w:szCs w:val="20"/>
          <w:color w:val="auto"/>
        </w:rPr>
      </w:pPr>
    </w:p>
    <w:p>
      <w:pPr>
        <w:jc w:val="both"/>
        <w:ind w:left="380" w:hanging="372"/>
        <w:spacing w:after="0" w:line="258" w:lineRule="auto"/>
        <w:tabs>
          <w:tab w:leader="none" w:pos="38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Yes. You may change your vote at any time before your proxy is voted at the Special Meeting. You may revoke your proxy by executing and returning a proxy card dated later than the previous one, or by voting again via the Internet, or by submitting a written revocation stating that you would like to revoke your proxy that our proxy solicitor receives prior to the Special Meeting. If you hold your Public Shares through a bank, brokerage firm or nominee, you should follow the instructions of your bank, brokerage firm or nominee regarding the revocation of proxies. If you are a record holder, you should send any notice of revocation or your completed new proxy card, as the case may be, to:</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[Proxy Agent]</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Toll Free: [*]</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Collect: [*]</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xml:space="preserve">Email: </w:t>
      </w:r>
      <w:r>
        <w:rPr>
          <w:rFonts w:ascii="Times New Roman" w:cs="Times New Roman" w:eastAsia="Times New Roman" w:hAnsi="Times New Roman"/>
          <w:sz w:val="18"/>
          <w:szCs w:val="18"/>
          <w:u w:val="single" w:color="auto"/>
          <w:color w:val="auto"/>
        </w:rPr>
        <w:t>[*]</w:t>
      </w:r>
    </w:p>
    <w:p>
      <w:pPr>
        <w:spacing w:after="0" w:line="207"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Unless revoked, a proxy will be voted at the Special Meeting in accordance with the stockholder’s indicated instructions. In the absence of instructions, proxies which have been signed and returned will be voted FOR each of the Proposals.</w:t>
      </w:r>
    </w:p>
    <w:p>
      <w:pPr>
        <w:spacing w:after="0" w:line="158" w:lineRule="exact"/>
        <w:rPr>
          <w:sz w:val="20"/>
          <w:szCs w:val="20"/>
          <w:color w:val="auto"/>
        </w:rPr>
      </w:pPr>
    </w:p>
    <w:p>
      <w:pPr>
        <w:spacing w:after="0"/>
        <w:tabs>
          <w:tab w:leader="none" w:pos="360" w:val="left"/>
        </w:tabs>
        <w:rPr>
          <w:sz w:val="20"/>
          <w:szCs w:val="20"/>
          <w:color w:val="auto"/>
        </w:rPr>
      </w:pPr>
      <w:r>
        <w:rPr>
          <w:rFonts w:ascii="Times New Roman" w:cs="Times New Roman" w:eastAsia="Times New Roman" w:hAnsi="Times New Roman"/>
          <w:sz w:val="18"/>
          <w:szCs w:val="18"/>
          <w:b w:val="1"/>
          <w:bCs w:val="1"/>
          <w:color w:val="auto"/>
        </w:rPr>
        <w:t>Q:</w:t>
      </w:r>
      <w:r>
        <w:rPr>
          <w:sz w:val="20"/>
          <w:szCs w:val="20"/>
          <w:color w:val="auto"/>
        </w:rPr>
        <w:tab/>
      </w:r>
      <w:r>
        <w:rPr>
          <w:rFonts w:ascii="Times New Roman" w:cs="Times New Roman" w:eastAsia="Times New Roman" w:hAnsi="Times New Roman"/>
          <w:sz w:val="17"/>
          <w:szCs w:val="17"/>
          <w:b w:val="1"/>
          <w:bCs w:val="1"/>
          <w:color w:val="auto"/>
        </w:rPr>
        <w:t>What should I do if I receive more than one set of voting materials?</w:t>
      </w:r>
    </w:p>
    <w:p>
      <w:pPr>
        <w:spacing w:after="0" w:line="229" w:lineRule="exact"/>
        <w:rPr>
          <w:sz w:val="20"/>
          <w:szCs w:val="20"/>
          <w:color w:val="auto"/>
        </w:rPr>
      </w:pPr>
    </w:p>
    <w:p>
      <w:pPr>
        <w:jc w:val="both"/>
        <w:ind w:left="380" w:hanging="372"/>
        <w:spacing w:after="0" w:line="258" w:lineRule="auto"/>
        <w:tabs>
          <w:tab w:leader="none" w:pos="38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You may receive more than one set of voting materials, including multiple copies of this proxy statement/prospectus and multiple proxy cards or voting instruction cards. For example, if you hold your shares in more than one brokerage account, you will receive a separate voting instruction card for each brokerage account in which you hold shares. If you are a holder of record and your shares are registered in more than one name, you will receive more than one proxy card. Please complete, sign, date and return each proxy card and voting instruction card that you receive in order to cast your vote with respect to all of your shares.</w:t>
      </w:r>
    </w:p>
    <w:p>
      <w:pPr>
        <w:spacing w:after="0" w:line="179" w:lineRule="exact"/>
        <w:rPr>
          <w:sz w:val="20"/>
          <w:szCs w:val="20"/>
          <w:color w:val="auto"/>
        </w:rPr>
      </w:pPr>
    </w:p>
    <w:p>
      <w:pPr>
        <w:ind w:left="380" w:hanging="372"/>
        <w:spacing w:after="0"/>
        <w:tabs>
          <w:tab w:leader="none" w:pos="380" w:val="left"/>
        </w:tabs>
        <w:numPr>
          <w:ilvl w:val="0"/>
          <w:numId w:val="4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What is a quorum requirement?</w:t>
      </w:r>
    </w:p>
    <w:p>
      <w:pPr>
        <w:spacing w:after="0" w:line="229" w:lineRule="exact"/>
        <w:rPr>
          <w:rFonts w:ascii="Times New Roman" w:cs="Times New Roman" w:eastAsia="Times New Roman" w:hAnsi="Times New Roman"/>
          <w:sz w:val="18"/>
          <w:szCs w:val="18"/>
          <w:b w:val="1"/>
          <w:bCs w:val="1"/>
          <w:color w:val="auto"/>
        </w:rPr>
      </w:pPr>
    </w:p>
    <w:p>
      <w:pPr>
        <w:jc w:val="both"/>
        <w:ind w:left="380" w:hanging="372"/>
        <w:spacing w:after="0" w:line="261" w:lineRule="auto"/>
        <w:tabs>
          <w:tab w:leader="none" w:pos="38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quorum of Stockholders is necessary to hold a valid meeting. Holders of a majority of the issued shares entitled to vote at the Special Meeting, present in person (including virtually) or represented by proxy, constitute a quorum. In the absence of a quorum, the Special Meeting will either stand adjourned to the same day/time/place in the following week or will be adjourned to such other day/time/place as the board of directors decides. As of the Record Date for the Special Meeting, 3,989,250 Public Shares, in the aggregate, would be required to achieve a quorum.</w:t>
      </w:r>
    </w:p>
    <w:p>
      <w:pPr>
        <w:spacing w:after="0" w:line="175" w:lineRule="exact"/>
        <w:rPr>
          <w:rFonts w:ascii="Times New Roman" w:cs="Times New Roman" w:eastAsia="Times New Roman" w:hAnsi="Times New Roman"/>
          <w:sz w:val="18"/>
          <w:szCs w:val="18"/>
          <w:color w:val="auto"/>
        </w:rPr>
      </w:pPr>
    </w:p>
    <w:p>
      <w:pPr>
        <w:ind w:left="380" w:hanging="372"/>
        <w:spacing w:after="0"/>
        <w:tabs>
          <w:tab w:leader="none" w:pos="380" w:val="left"/>
        </w:tabs>
        <w:numPr>
          <w:ilvl w:val="0"/>
          <w:numId w:val="5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Who can vote at the Special Meeting?</w:t>
      </w:r>
    </w:p>
    <w:p>
      <w:pPr>
        <w:spacing w:after="0" w:line="229" w:lineRule="exact"/>
        <w:rPr>
          <w:rFonts w:ascii="Times New Roman" w:cs="Times New Roman" w:eastAsia="Times New Roman" w:hAnsi="Times New Roman"/>
          <w:sz w:val="18"/>
          <w:szCs w:val="18"/>
          <w:b w:val="1"/>
          <w:bCs w:val="1"/>
          <w:color w:val="auto"/>
        </w:rPr>
      </w:pPr>
    </w:p>
    <w:p>
      <w:pPr>
        <w:jc w:val="both"/>
        <w:ind w:left="380" w:hanging="372"/>
        <w:spacing w:after="0" w:line="261" w:lineRule="auto"/>
        <w:tabs>
          <w:tab w:leader="none" w:pos="38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Only holders of record of the Company’s Public Shares at the close of business on [●], 2022 are entitled to have their vote counted at the Special Meeting and any adjournments or postponements thereof. For the purposes of this Proxy Statement “holders of record” means the persons entered in the register of members of the Company as the holders of the relevant shares of Common Stock. On the Record Date, there were 34,429,500 shares of Common Stock outstanding of the Company, including 28,750,000 outstanding Public Shares.</w:t>
      </w:r>
    </w:p>
    <w:p>
      <w:pPr>
        <w:spacing w:after="0" w:line="176"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b w:val="1"/>
          <w:bCs w:val="1"/>
          <w:color w:val="auto"/>
        </w:rPr>
        <w:t>Stockholder of Record: Shares Registered in Your Name</w:t>
      </w:r>
      <w:r>
        <w:rPr>
          <w:rFonts w:ascii="Times New Roman" w:cs="Times New Roman" w:eastAsia="Times New Roman" w:hAnsi="Times New Roman"/>
          <w:sz w:val="18"/>
          <w:szCs w:val="18"/>
          <w:color w:val="auto"/>
        </w:rPr>
        <w:t>. If on the Record Date your shares were registered directly in your name with the Company’s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transfer agent, Continental Stock Transfer &amp; Trust Company, then you are a stockholder of record. As a stockholder of record, you may vote in person (including virtually) at the Special Meeting or vote by proxy. Whether or not you plan to attend the Special Meeting virtually, we urge you to fill out and return the enclosed proxy card to ensure your vote is counted.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417830</wp:posOffset>
            </wp:positionV>
            <wp:extent cx="7132320"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18" w:name="page19"/>
    <w:bookmarkEnd w:id="18"/>
    <w:p>
      <w:pPr>
        <w:jc w:val="both"/>
        <w:spacing w:after="0" w:line="259" w:lineRule="auto"/>
        <w:rPr>
          <w:sz w:val="20"/>
          <w:szCs w:val="20"/>
          <w:color w:val="auto"/>
        </w:rPr>
      </w:pPr>
      <w:r>
        <w:rPr>
          <w:rFonts w:ascii="Times New Roman" w:cs="Times New Roman" w:eastAsia="Times New Roman" w:hAnsi="Times New Roman"/>
          <w:sz w:val="18"/>
          <w:szCs w:val="18"/>
          <w:b w:val="1"/>
          <w:bCs w:val="1"/>
          <w:color w:val="auto"/>
        </w:rPr>
        <w:t xml:space="preserve">Beneficial Owner: Shares Registered in the Name of a Broker or Bank. </w:t>
      </w:r>
      <w:r>
        <w:rPr>
          <w:rFonts w:ascii="Times New Roman" w:cs="Times New Roman" w:eastAsia="Times New Roman" w:hAnsi="Times New Roman"/>
          <w:sz w:val="18"/>
          <w:szCs w:val="18"/>
          <w:color w:val="auto"/>
        </w:rPr>
        <w:t>If on the Record Date your shares were held, not in your name, but rather in an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account at a brokerage firm, bank, dealer, or other similar organization, then you are the beneficial owner of shares held in “street name” and these proxy materials are being forwarded to you by that organization. As a beneficial owner, you have the right to direct your broker or other agent on how to vote the shares in your account. You are also invited to attend the Special Meeting. However, since you are not the stockholder of record, you may not vote your shares in person at the Special Meeting unless you request and obtain a valid proxy from your broker or other agent.</w:t>
      </w:r>
    </w:p>
    <w:p>
      <w:pPr>
        <w:spacing w:after="0" w:line="179" w:lineRule="exact"/>
        <w:rPr>
          <w:sz w:val="20"/>
          <w:szCs w:val="20"/>
          <w:color w:val="auto"/>
        </w:rPr>
      </w:pPr>
    </w:p>
    <w:p>
      <w:pPr>
        <w:ind w:left="380" w:hanging="372"/>
        <w:spacing w:after="0"/>
        <w:tabs>
          <w:tab w:leader="none" w:pos="380" w:val="left"/>
        </w:tabs>
        <w:numPr>
          <w:ilvl w:val="0"/>
          <w:numId w:val="5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Does the Board recommend voting for the Charter Amendment Proposal, the Trust Amendment Proposal. and the Adjournment Proposal?</w:t>
      </w:r>
    </w:p>
    <w:p>
      <w:pPr>
        <w:spacing w:after="0" w:line="229" w:lineRule="exact"/>
        <w:rPr>
          <w:rFonts w:ascii="Times New Roman" w:cs="Times New Roman" w:eastAsia="Times New Roman" w:hAnsi="Times New Roman"/>
          <w:sz w:val="18"/>
          <w:szCs w:val="18"/>
          <w:b w:val="1"/>
          <w:bCs w:val="1"/>
          <w:color w:val="auto"/>
        </w:rPr>
      </w:pPr>
    </w:p>
    <w:p>
      <w:pPr>
        <w:ind w:left="380" w:hanging="372"/>
        <w:spacing w:after="0" w:line="282" w:lineRule="auto"/>
        <w:tabs>
          <w:tab w:leader="none" w:pos="38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Yes. The Board recommends that the Company’s Stockholders vote “FOR” the Charter Amendment Proposal, “FOR” the Trust Amendment Proposal and “FOR” the Adjournment Proposal.</w:t>
      </w:r>
    </w:p>
    <w:p>
      <w:pPr>
        <w:spacing w:after="0" w:line="157" w:lineRule="exact"/>
        <w:rPr>
          <w:rFonts w:ascii="Times New Roman" w:cs="Times New Roman" w:eastAsia="Times New Roman" w:hAnsi="Times New Roman"/>
          <w:sz w:val="18"/>
          <w:szCs w:val="18"/>
          <w:color w:val="auto"/>
        </w:rPr>
      </w:pPr>
    </w:p>
    <w:p>
      <w:pPr>
        <w:ind w:left="380" w:right="80" w:hanging="372"/>
        <w:spacing w:after="0" w:line="286" w:lineRule="auto"/>
        <w:tabs>
          <w:tab w:leader="none" w:pos="380" w:val="left"/>
        </w:tabs>
        <w:numPr>
          <w:ilvl w:val="0"/>
          <w:numId w:val="5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What interests do the Company’s directors and officers have in the approval of the Charter Amendment Proposal and the Trust Amendment Proposal?</w:t>
      </w:r>
    </w:p>
    <w:p>
      <w:pPr>
        <w:spacing w:after="0" w:line="158" w:lineRule="exact"/>
        <w:rPr>
          <w:rFonts w:ascii="Times New Roman" w:cs="Times New Roman" w:eastAsia="Times New Roman" w:hAnsi="Times New Roman"/>
          <w:sz w:val="18"/>
          <w:szCs w:val="18"/>
          <w:b w:val="1"/>
          <w:bCs w:val="1"/>
          <w:color w:val="auto"/>
        </w:rPr>
      </w:pPr>
    </w:p>
    <w:p>
      <w:pPr>
        <w:jc w:val="both"/>
        <w:ind w:left="380" w:hanging="372"/>
        <w:spacing w:after="0" w:line="261" w:lineRule="auto"/>
        <w:tabs>
          <w:tab w:leader="none" w:pos="38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Company’s directors, officers and their affiliates have interests in the Charter Amendment Proposal and the Trust Amendment Proposal that may be different from, or in addition to, your interests as a stockholder. These interests include, but are not limited to, beneficial ownership of insider shares and rights that will become worthless if the Charter Amendment Proposal and the Trust Amendment Proposal are not approved. See the section entitled “</w:t>
      </w:r>
      <w:r>
        <w:rPr>
          <w:rFonts w:ascii="Times New Roman" w:cs="Times New Roman" w:eastAsia="Times New Roman" w:hAnsi="Times New Roman"/>
          <w:sz w:val="18"/>
          <w:szCs w:val="18"/>
          <w:i w:val="1"/>
          <w:iCs w:val="1"/>
          <w:color w:val="auto"/>
        </w:rPr>
        <w:t>Interests of the Company’s Directors and Officers</w:t>
      </w:r>
      <w:r>
        <w:rPr>
          <w:rFonts w:ascii="Times New Roman" w:cs="Times New Roman" w:eastAsia="Times New Roman" w:hAnsi="Times New Roman"/>
          <w:sz w:val="18"/>
          <w:szCs w:val="18"/>
          <w:color w:val="auto"/>
        </w:rPr>
        <w:t>.”</w:t>
      </w:r>
    </w:p>
    <w:p>
      <w:pPr>
        <w:spacing w:after="0" w:line="175" w:lineRule="exact"/>
        <w:rPr>
          <w:rFonts w:ascii="Times New Roman" w:cs="Times New Roman" w:eastAsia="Times New Roman" w:hAnsi="Times New Roman"/>
          <w:sz w:val="18"/>
          <w:szCs w:val="18"/>
          <w:color w:val="auto"/>
        </w:rPr>
      </w:pPr>
    </w:p>
    <w:p>
      <w:pPr>
        <w:ind w:left="380" w:hanging="372"/>
        <w:spacing w:after="0"/>
        <w:tabs>
          <w:tab w:leader="none" w:pos="380" w:val="left"/>
        </w:tabs>
        <w:numPr>
          <w:ilvl w:val="0"/>
          <w:numId w:val="5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What if I object to the Charter Amendment Proposal or the Trust Amendment Proposal? Do I have appraisal rights?</w:t>
      </w:r>
    </w:p>
    <w:p>
      <w:pPr>
        <w:spacing w:after="0" w:line="229" w:lineRule="exact"/>
        <w:rPr>
          <w:rFonts w:ascii="Times New Roman" w:cs="Times New Roman" w:eastAsia="Times New Roman" w:hAnsi="Times New Roman"/>
          <w:sz w:val="18"/>
          <w:szCs w:val="18"/>
          <w:b w:val="1"/>
          <w:bCs w:val="1"/>
          <w:color w:val="auto"/>
        </w:rPr>
      </w:pPr>
    </w:p>
    <w:p>
      <w:pPr>
        <w:ind w:left="380" w:hanging="372"/>
        <w:spacing w:after="0"/>
        <w:tabs>
          <w:tab w:leader="none" w:pos="380"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Company Stockholders do not have appraisal rights in connection with the Charter Amendment Proposal or the Trust Amendment Proposal.</w:t>
      </w:r>
    </w:p>
    <w:p>
      <w:pPr>
        <w:spacing w:after="0" w:line="221" w:lineRule="exact"/>
        <w:rPr>
          <w:sz w:val="20"/>
          <w:szCs w:val="20"/>
          <w:color w:val="auto"/>
        </w:rPr>
      </w:pPr>
    </w:p>
    <w:p>
      <w:pPr>
        <w:spacing w:after="0"/>
        <w:tabs>
          <w:tab w:leader="none" w:pos="360" w:val="left"/>
        </w:tabs>
        <w:rPr>
          <w:sz w:val="20"/>
          <w:szCs w:val="20"/>
          <w:color w:val="auto"/>
        </w:rPr>
      </w:pPr>
      <w:r>
        <w:rPr>
          <w:rFonts w:ascii="Times New Roman" w:cs="Times New Roman" w:eastAsia="Times New Roman" w:hAnsi="Times New Roman"/>
          <w:sz w:val="18"/>
          <w:szCs w:val="18"/>
          <w:b w:val="1"/>
          <w:bCs w:val="1"/>
          <w:color w:val="auto"/>
        </w:rPr>
        <w:t>Q:</w:t>
      </w:r>
      <w:r>
        <w:rPr>
          <w:sz w:val="20"/>
          <w:szCs w:val="20"/>
          <w:color w:val="auto"/>
        </w:rPr>
        <w:tab/>
      </w:r>
      <w:r>
        <w:rPr>
          <w:rFonts w:ascii="Times New Roman" w:cs="Times New Roman" w:eastAsia="Times New Roman" w:hAnsi="Times New Roman"/>
          <w:sz w:val="17"/>
          <w:szCs w:val="17"/>
          <w:b w:val="1"/>
          <w:bCs w:val="1"/>
          <w:color w:val="auto"/>
        </w:rPr>
        <w:t>What do I need to do now?</w:t>
      </w:r>
    </w:p>
    <w:p>
      <w:pPr>
        <w:spacing w:after="0" w:line="229" w:lineRule="exact"/>
        <w:rPr>
          <w:sz w:val="20"/>
          <w:szCs w:val="20"/>
          <w:color w:val="auto"/>
        </w:rPr>
      </w:pPr>
    </w:p>
    <w:p>
      <w:pPr>
        <w:jc w:val="both"/>
        <w:ind w:left="380" w:hanging="372"/>
        <w:spacing w:after="0" w:line="261" w:lineRule="auto"/>
        <w:tabs>
          <w:tab w:leader="none" w:pos="380"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You are urged to read carefully and consider the information contained in this proxy statement and to consider how the proposals will affect you as a stockholder. You should then vote as soon as possible in accordance with the instructions provided in this proxy statement and on the enclosed proxy card or, if you hold your shares through a brokerage firm, bank or other nominee, on the voting instruction form provided by the broker, bank or nominee.</w:t>
      </w:r>
    </w:p>
    <w:p>
      <w:pPr>
        <w:spacing w:after="0" w:line="176" w:lineRule="exact"/>
        <w:rPr>
          <w:sz w:val="20"/>
          <w:szCs w:val="20"/>
          <w:color w:val="auto"/>
        </w:rPr>
      </w:pPr>
    </w:p>
    <w:p>
      <w:pPr>
        <w:ind w:left="380" w:hanging="372"/>
        <w:spacing w:after="0"/>
        <w:tabs>
          <w:tab w:leader="none" w:pos="380" w:val="left"/>
        </w:tabs>
        <w:numPr>
          <w:ilvl w:val="0"/>
          <w:numId w:val="5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How do I redeem my Public Shares of the Company?</w:t>
      </w:r>
    </w:p>
    <w:p>
      <w:pPr>
        <w:spacing w:after="0" w:line="229" w:lineRule="exact"/>
        <w:rPr>
          <w:rFonts w:ascii="Times New Roman" w:cs="Times New Roman" w:eastAsia="Times New Roman" w:hAnsi="Times New Roman"/>
          <w:sz w:val="18"/>
          <w:szCs w:val="18"/>
          <w:b w:val="1"/>
          <w:bCs w:val="1"/>
          <w:color w:val="auto"/>
        </w:rPr>
      </w:pPr>
    </w:p>
    <w:p>
      <w:pPr>
        <w:jc w:val="both"/>
        <w:ind w:left="380" w:hanging="372"/>
        <w:spacing w:after="0" w:line="266" w:lineRule="auto"/>
        <w:tabs>
          <w:tab w:leader="none" w:pos="380"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connection with the Special Meeting and the vote on the Extension Proposal, each Public Stockholder may seek to redeem its Public Shares for a pro rata portion of the funds available in the trust account, less any taxes we anticipate will be owed on such funds but have not yet been paid. Holders of Public Shares do not need to vote on the Extension Proposal or be a holder of record on the Record Date to exercise redemption rights.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 demand redemption, if you hold physical certificates for Public Shares, you must physically tender your share certificates to Continental Stock Transfer</w:t>
      </w:r>
    </w:p>
    <w:p>
      <w:pPr>
        <w:spacing w:after="0" w:line="27" w:lineRule="exact"/>
        <w:rPr>
          <w:sz w:val="20"/>
          <w:szCs w:val="20"/>
          <w:color w:val="auto"/>
        </w:rPr>
      </w:pPr>
    </w:p>
    <w:p>
      <w:pPr>
        <w:jc w:val="both"/>
        <w:ind w:firstLine="8"/>
        <w:spacing w:after="0" w:line="252" w:lineRule="auto"/>
        <w:tabs>
          <w:tab w:leader="none" w:pos="207"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Trust Company, the Company’s transfer agent, at Continental Stock Transfer &amp; Trust Company, One State Street Plaza, 30th Floor, New York, NY 10004, Attn: Mark Zimkind; E-mail: mzimkind@continentalstock.com, no later than two business days prior to the Special Meeting. If you hold your Public Shares in “street name” through a bank, broker or other nominee, you must deliver your shares to Continental Stock Transfer &amp; Trust Company electronically using The Depository Trust Company’s DWAC (Deposit/Withdrawal At Custodian) System two business days prior to the Special Meeting to demand redemption. You will only be entitled to receive cash in connection with a redemption of these shares if you continue to hold them until the effective date of the Extension Amendment.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423545</wp:posOffset>
            </wp:positionV>
            <wp:extent cx="7132320" cy="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19" w:name="page20"/>
    <w:bookmarkEnd w:id="19"/>
    <w:p>
      <w:pPr>
        <w:spacing w:after="0"/>
        <w:tabs>
          <w:tab w:leader="none" w:pos="360" w:val="left"/>
        </w:tabs>
        <w:rPr>
          <w:sz w:val="20"/>
          <w:szCs w:val="20"/>
          <w:color w:val="auto"/>
        </w:rPr>
      </w:pPr>
      <w:r>
        <w:rPr>
          <w:rFonts w:ascii="Times New Roman" w:cs="Times New Roman" w:eastAsia="Times New Roman" w:hAnsi="Times New Roman"/>
          <w:sz w:val="18"/>
          <w:szCs w:val="18"/>
          <w:b w:val="1"/>
          <w:bCs w:val="1"/>
          <w:color w:val="auto"/>
        </w:rPr>
        <w:t>Q:</w:t>
      </w:r>
      <w:r>
        <w:rPr>
          <w:sz w:val="20"/>
          <w:szCs w:val="20"/>
          <w:color w:val="auto"/>
        </w:rPr>
        <w:tab/>
      </w:r>
      <w:r>
        <w:rPr>
          <w:rFonts w:ascii="Times New Roman" w:cs="Times New Roman" w:eastAsia="Times New Roman" w:hAnsi="Times New Roman"/>
          <w:sz w:val="17"/>
          <w:szCs w:val="17"/>
          <w:b w:val="1"/>
          <w:bCs w:val="1"/>
          <w:color w:val="auto"/>
        </w:rPr>
        <w:t>Who will solicit and pay the cost of soliciting proxies?</w:t>
      </w:r>
    </w:p>
    <w:p>
      <w:pPr>
        <w:spacing w:after="0" w:line="229" w:lineRule="exact"/>
        <w:rPr>
          <w:sz w:val="20"/>
          <w:szCs w:val="20"/>
          <w:color w:val="auto"/>
        </w:rPr>
      </w:pPr>
    </w:p>
    <w:p>
      <w:pPr>
        <w:jc w:val="both"/>
        <w:ind w:left="380" w:hanging="372"/>
        <w:spacing w:after="0" w:line="255" w:lineRule="auto"/>
        <w:tabs>
          <w:tab w:leader="none" w:pos="380"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BurTech will pay the cost of soliciting proxies for the Special Meeting. BurTech has engaged [Proxy Agent] (“[Proxy Agent]”) to assist in the solicitation of proxies for the Special Meeting. BurTech has agreed to pay [Proxy Agent] a fee of up to $[7,500], plus disbursements. BurTech will reimburse [Proxy Agent] for reasonable out-of-pocket expenses and will indemnify [Proxy Agent] and its affiliates against certain claims, liabilities, losses, damages and expenses. BurTech will also reimburse banks, brokers and other custodians, nominees and fiduciaries representing beneficial owners of Public Shares for their expenses in forwarding soliciting materials to beneficial owners of Public Shares and in obtaining voting instructions from those owners. BurTech’s directors, officers and employees may also solicit proxies by telephone, by facsimile, by mail, on the Internet or in person. They will not be paid any additional amounts for soliciting proxies.</w:t>
      </w:r>
    </w:p>
    <w:p>
      <w:pPr>
        <w:spacing w:after="0" w:line="185" w:lineRule="exact"/>
        <w:rPr>
          <w:sz w:val="20"/>
          <w:szCs w:val="20"/>
          <w:color w:val="auto"/>
        </w:rPr>
      </w:pPr>
    </w:p>
    <w:p>
      <w:pPr>
        <w:spacing w:after="0"/>
        <w:tabs>
          <w:tab w:leader="none" w:pos="360" w:val="left"/>
        </w:tabs>
        <w:rPr>
          <w:sz w:val="20"/>
          <w:szCs w:val="20"/>
          <w:color w:val="auto"/>
        </w:rPr>
      </w:pPr>
      <w:r>
        <w:rPr>
          <w:rFonts w:ascii="Times New Roman" w:cs="Times New Roman" w:eastAsia="Times New Roman" w:hAnsi="Times New Roman"/>
          <w:sz w:val="18"/>
          <w:szCs w:val="18"/>
          <w:b w:val="1"/>
          <w:bCs w:val="1"/>
          <w:color w:val="auto"/>
        </w:rPr>
        <w:t>Q:</w:t>
      </w:r>
      <w:r>
        <w:rPr>
          <w:sz w:val="20"/>
          <w:szCs w:val="20"/>
          <w:color w:val="auto"/>
        </w:rPr>
        <w:tab/>
      </w:r>
      <w:r>
        <w:rPr>
          <w:rFonts w:ascii="Times New Roman" w:cs="Times New Roman" w:eastAsia="Times New Roman" w:hAnsi="Times New Roman"/>
          <w:sz w:val="17"/>
          <w:szCs w:val="17"/>
          <w:b w:val="1"/>
          <w:bCs w:val="1"/>
          <w:color w:val="auto"/>
        </w:rPr>
        <w:t>Who can help answer my questions?</w:t>
      </w:r>
    </w:p>
    <w:p>
      <w:pPr>
        <w:spacing w:after="0" w:line="229" w:lineRule="exact"/>
        <w:rPr>
          <w:sz w:val="20"/>
          <w:szCs w:val="20"/>
          <w:color w:val="auto"/>
        </w:rPr>
      </w:pPr>
    </w:p>
    <w:p>
      <w:pPr>
        <w:ind w:left="380" w:right="440" w:hanging="372"/>
        <w:spacing w:after="0" w:line="282" w:lineRule="auto"/>
        <w:tabs>
          <w:tab w:leader="none" w:pos="380"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you have questions about the Proposals or if you need additional copies of this proxy statement or the enclosed proxy card, you should contact BurTech’s proxy solicitor at:</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[Proxy Agent]</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Toll Free: [*]</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Collect: [*]</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Email: [*]</w:t>
      </w:r>
    </w:p>
    <w:p>
      <w:pPr>
        <w:spacing w:after="0" w:line="205" w:lineRule="exact"/>
        <w:rPr>
          <w:sz w:val="20"/>
          <w:szCs w:val="20"/>
          <w:color w:val="auto"/>
        </w:rPr>
      </w:pPr>
    </w:p>
    <w:p>
      <w:pPr>
        <w:spacing w:after="0" w:line="284" w:lineRule="auto"/>
        <w:rPr>
          <w:sz w:val="20"/>
          <w:szCs w:val="20"/>
          <w:color w:val="auto"/>
        </w:rPr>
      </w:pPr>
      <w:r>
        <w:rPr>
          <w:rFonts w:ascii="Times New Roman" w:cs="Times New Roman" w:eastAsia="Times New Roman" w:hAnsi="Times New Roman"/>
          <w:sz w:val="18"/>
          <w:szCs w:val="18"/>
          <w:color w:val="auto"/>
        </w:rPr>
        <w:t>You may also obtain additional information about BurTech from documents filed with the SEC by following the instructions in the section titled “</w:t>
      </w:r>
      <w:r>
        <w:rPr>
          <w:rFonts w:ascii="Times New Roman" w:cs="Times New Roman" w:eastAsia="Times New Roman" w:hAnsi="Times New Roman"/>
          <w:sz w:val="18"/>
          <w:szCs w:val="18"/>
          <w:i w:val="1"/>
          <w:iCs w:val="1"/>
          <w:color w:val="auto"/>
        </w:rPr>
        <w:t>Where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You Can Find More Information</w:t>
      </w: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404495</wp:posOffset>
            </wp:positionV>
            <wp:extent cx="7132320" cy="82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20" w:name="page21"/>
    <w:bookmarkEnd w:id="20"/>
    <w:p>
      <w:pPr>
        <w:jc w:val="center"/>
        <w:spacing w:after="0"/>
        <w:rPr>
          <w:sz w:val="20"/>
          <w:szCs w:val="20"/>
          <w:color w:val="auto"/>
        </w:rPr>
      </w:pPr>
      <w:r>
        <w:rPr>
          <w:rFonts w:ascii="Times New Roman" w:cs="Times New Roman" w:eastAsia="Times New Roman" w:hAnsi="Times New Roman"/>
          <w:sz w:val="18"/>
          <w:szCs w:val="18"/>
          <w:b w:val="1"/>
          <w:bCs w:val="1"/>
          <w:color w:val="auto"/>
        </w:rPr>
        <w:t>FORWARD-LOOKING STATEMENTS</w:t>
      </w:r>
    </w:p>
    <w:p>
      <w:pPr>
        <w:spacing w:after="0" w:line="229"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We believe it is important to communicate our expectations to our stockholders. However, there may be events in the future that we are not able to predict accurately or over which we have no control. The cautionary language discussed in this proxy statement provide examples of risks, uncertainties and events that may cause actual results to differ materially from the expectations described by us in such forward-looking statements, including, among other things, claims by third parties against the trust account, unanticipated delays in the distribution of the funds from the trust account and the Company’s ability to finance and consummate a business combination following the distribution of funds from the trust account. You are cautioned not to place undue reliance on these forward-looking statements, which speak only as of the date of this proxy statement and to consider the risks, uncertainties and events discussed in this proxy statement, in addition to the risk factors set forth in our other filings with the SEC, including the final prospectus related to the IPO dated December 09, 2021 and filed with the SEC on December 12, 2021 pursuant to Rule 421(b)(4) (File No. 333- 258914), and the Company’s Annual Report on Form 10-K for the fiscal year ended December 31, 2021 filed with the SEC on March 31, 2022, and any that may be set forth in the Initial Business Combination Registration Statement on Form S-4. The documents we file with the SEC, including those referred to above, also discuss some of the risks that could cause actual results to differ from those contained or implied in the forward-looking statements. See “Where You Can Find More Information” for additional information about our filings.</w:t>
      </w:r>
    </w:p>
    <w:p>
      <w:pPr>
        <w:spacing w:after="0" w:line="190"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All forward-looking statements included herein attributable to the Company or any person acting on the Company’s behalf are expressly qualified in their entirety by the cautionary statements contained or referred to in this section. Except to the extent required by applicable laws and regulations, the Company undertakes no obligation to update these forward-looking statements to reflect events or circumstances after the date of this proxy statement or to reflect the occurrence of unanticipated events.</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BACKGROUND</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The Company</w:t>
      </w:r>
    </w:p>
    <w:p>
      <w:pPr>
        <w:spacing w:after="0" w:line="229"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BurTech was incorporated in Delaware on March 02, 2021 and was formed for the purpose of entering into a merger, share exchange, asset acquisition, stock purchase, recapitalization, reorganization or other similar Business Combination with one or more businesses or entities. BurTech has up to March 15, 2023 to consummate a Business Combination (if the time to complete a business combination is extended). If BurTech is unable to complete its initial business combination within such period (as extended as described herein), it will (i) cease all operations except for the purpose of winding up and (ii) as promptly as reasonably possible but not more than ten business days thereafter, redeem 100% of the outstanding public shares of Class A common stock, at a per-share of common stock price, payable in cash, equal to the aggregate amount then on deposit in the Trust Account, including any interest not previously released to BurTech (net of taxes payable), divided by the number of then outstanding public shares of Class A common stock, which redemption will completely extinguish public stockholders’ rights as holders of shares of common stock (including the right to receive further liquidation distributions, if any), subject to applicable law. As promptly as reasonably possible following such redemption, subject to the approval of the remaining stockholders and the Board, BurTech will dissolve and liquidate, subject to its obligations under Delaware law to provide for claims of creditors and the requirements of other applicable law.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424815</wp:posOffset>
            </wp:positionV>
            <wp:extent cx="7132320" cy="82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21" w:name="page22"/>
    <w:bookmarkEnd w:id="21"/>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Following the closing of the IPO on December 15, 2021 and the underwriters’ partial exercise of over-allotment option on December 13, 2021, approximately $292.2 million from the net proceeds of the sale of the Public Units in the IPO (each Unit consists of one share of Class A common stock and one redeemable warrant entitling the holder thereof to purchase one share of Class A common stock at a price of $11.50 per share) and the sale of the Private Units was placed in a trust account maintained by Continental Stock Transfer &amp; Trust Company, acting as trustee (the “</w:t>
      </w:r>
      <w:r>
        <w:rPr>
          <w:rFonts w:ascii="Times New Roman" w:cs="Times New Roman" w:eastAsia="Times New Roman" w:hAnsi="Times New Roman"/>
          <w:sz w:val="18"/>
          <w:szCs w:val="18"/>
          <w:b w:val="1"/>
          <w:bCs w:val="1"/>
          <w:u w:val="single" w:color="auto"/>
          <w:color w:val="auto"/>
        </w:rPr>
        <w:t>Trust Account</w:t>
      </w:r>
      <w:r>
        <w:rPr>
          <w:rFonts w:ascii="Times New Roman" w:cs="Times New Roman" w:eastAsia="Times New Roman" w:hAnsi="Times New Roman"/>
          <w:sz w:val="18"/>
          <w:szCs w:val="18"/>
          <w:color w:val="auto"/>
        </w:rPr>
        <w:t>”). The Private Units are the same as the Public Units. The funds held in the Trust Account is and will be invested only in United States “government securities” within the meaning of Section 2(a)(16) of the Investment Company Act having a maturity of 185 days or less or in money market funds meeting certain conditions under Rule 2a-7 promulgated under the Investment Company Act which invest only in direct U.S. government treasury obligations, so that BurTech is not deemed to be an investment company under the Investment Company Act. except with respect to interest earned on the funds held in the Trust Account that may be released to BurTech to pay its income or other tax obligations, the proceeds will not be released from the Trust Account until the earlier of the completion of a Business Combination or the redemption of 100% of the outstanding shares of common stock if BurTech has not completed a Business Combination in the required time period. The proceeds held in the Trust Account may be used as consideration to pay the sellers of a target business with which BurTech completes a Business Combination. Any amounts not paid as consideration to the sellers of the target business may be used to finance operations of the target business.</w:t>
      </w:r>
    </w:p>
    <w:p>
      <w:pPr>
        <w:spacing w:after="0" w:line="187"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Although the Company entered into a non-binding letter of intent for a potential business combination with JetSynthesys Pvt. Ltd., the Company is still in the process of identifying a potential business combination target company (the “</w:t>
      </w:r>
      <w:r>
        <w:rPr>
          <w:rFonts w:ascii="Times New Roman" w:cs="Times New Roman" w:eastAsia="Times New Roman" w:hAnsi="Times New Roman"/>
          <w:sz w:val="18"/>
          <w:szCs w:val="18"/>
          <w:b w:val="1"/>
          <w:bCs w:val="1"/>
          <w:u w:val="single" w:color="auto"/>
          <w:color w:val="auto"/>
        </w:rPr>
        <w:t>Target</w:t>
      </w:r>
      <w:r>
        <w:rPr>
          <w:rFonts w:ascii="Times New Roman" w:cs="Times New Roman" w:eastAsia="Times New Roman" w:hAnsi="Times New Roman"/>
          <w:sz w:val="18"/>
          <w:szCs w:val="18"/>
          <w:color w:val="auto"/>
        </w:rPr>
        <w:t>”) for an initial business combination (the “</w:t>
      </w:r>
      <w:r>
        <w:rPr>
          <w:rFonts w:ascii="Times New Roman" w:cs="Times New Roman" w:eastAsia="Times New Roman" w:hAnsi="Times New Roman"/>
          <w:sz w:val="18"/>
          <w:szCs w:val="18"/>
          <w:b w:val="1"/>
          <w:bCs w:val="1"/>
          <w:u w:val="single" w:color="auto"/>
          <w:color w:val="auto"/>
        </w:rPr>
        <w:t>Initial Business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u w:val="single" w:color="auto"/>
          <w:color w:val="auto"/>
        </w:rPr>
        <w:t>Combination</w:t>
      </w:r>
      <w:r>
        <w:rPr>
          <w:rFonts w:ascii="Times New Roman" w:cs="Times New Roman" w:eastAsia="Times New Roman" w:hAnsi="Times New Roman"/>
          <w:sz w:val="18"/>
          <w:szCs w:val="18"/>
          <w:color w:val="auto"/>
        </w:rPr>
        <w:t>”).</w:t>
      </w:r>
    </w:p>
    <w:p>
      <w:pPr>
        <w:spacing w:after="0" w:line="176"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Our Charter provides for the return of the IPO proceeds held in the trust account to the holders of Public Shares if it has not consummated a business combination(s) on or before March 15, 2023. The Company believes the Target is a compelling opportunity for the Company’s initial business combination and is currently in the process of completing an initial business combination involving the Target.</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mailing address of our principal executive office is: 1300 Pennsylvania Ave NW, Suite 700, Washington, DC 20004.</w:t>
      </w:r>
    </w:p>
    <w:p>
      <w:pPr>
        <w:spacing w:after="0" w:line="22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Failure to Timely to Complete an Initial Business Combination</w:t>
      </w:r>
    </w:p>
    <w:p>
      <w:pPr>
        <w:spacing w:after="0" w:line="225"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18"/>
          <w:szCs w:val="18"/>
          <w:color w:val="auto"/>
        </w:rPr>
        <w:t>As disclosed in the Company’s prospectus dated December 09, 2021 in connection with its initial public offering (the “</w:t>
      </w:r>
      <w:r>
        <w:rPr>
          <w:rFonts w:ascii="Times New Roman" w:cs="Times New Roman" w:eastAsia="Times New Roman" w:hAnsi="Times New Roman"/>
          <w:sz w:val="18"/>
          <w:szCs w:val="18"/>
          <w:b w:val="1"/>
          <w:bCs w:val="1"/>
          <w:u w:val="single" w:color="auto"/>
          <w:color w:val="auto"/>
        </w:rPr>
        <w:t>IPO</w:t>
      </w:r>
      <w:r>
        <w:rPr>
          <w:rFonts w:ascii="Times New Roman" w:cs="Times New Roman" w:eastAsia="Times New Roman" w:hAnsi="Times New Roman"/>
          <w:sz w:val="18"/>
          <w:szCs w:val="18"/>
          <w:color w:val="auto"/>
        </w:rPr>
        <w:t>”), pursuant to the Trust Agreement, and the Company’s Charter, if BurTech does not complete the initial Business Combination within 15 months from the closing of the IPO, or March 15, 2023, it would cease all operations except for the purpose of winding up the Company.</w:t>
      </w:r>
    </w:p>
    <w:p>
      <w:pPr>
        <w:spacing w:after="0" w:line="175"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BurTech and its board of directors have determined that there will not be sufficient time before March 15, 2023 to file the Initial Business Combination Registration Statement related to the transaction, or to hold a Special Meeting to obtain stockholder approval of, and to consummate, the Initial Business Combination. Accordingly, BurTech’s board has determined that, given BurTech’s expenditure of time, effort and money on identifying a suitable company as a target business and completing its initial business combination, it is in the best interests of its stockholders to approve the Charter Amendment Proposal and the Trust Amendment Proposal in order to amend the Charter and to amend the Trust Agreement. Assuming that the Charter Amendment Proposal and the Trust Amendment Proposal are so approved, and both the Charter and the Trust Agreement are amended, BurTech will have to consummate an initial business combination before the Extended Termination Date.</w:t>
      </w:r>
    </w:p>
    <w:p>
      <w:pPr>
        <w:spacing w:after="0" w:line="185" w:lineRule="exact"/>
        <w:rPr>
          <w:sz w:val="20"/>
          <w:szCs w:val="20"/>
          <w:color w:val="auto"/>
        </w:rPr>
      </w:pPr>
    </w:p>
    <w:p>
      <w:pPr>
        <w:jc w:val="both"/>
        <w:ind w:firstLine="648"/>
        <w:spacing w:after="0" w:line="259" w:lineRule="auto"/>
        <w:rPr>
          <w:sz w:val="20"/>
          <w:szCs w:val="20"/>
          <w:color w:val="auto"/>
        </w:rPr>
      </w:pPr>
      <w:r>
        <w:rPr>
          <w:rFonts w:ascii="Times New Roman" w:cs="Times New Roman" w:eastAsia="Times New Roman" w:hAnsi="Times New Roman"/>
          <w:sz w:val="18"/>
          <w:szCs w:val="18"/>
          <w:b w:val="1"/>
          <w:bCs w:val="1"/>
          <w:color w:val="auto"/>
        </w:rPr>
        <w:t>You are not being asked to vote on any business combination at this time. If the Charter Amendment Proposal and the Trust Amendment Proposal are implemented and you do not elect to redeem your public shares of Class A common stock now, you will retain the right to vote on an Initial Business combination when it is submitted to stockholders and the right to redeem your public shares of Class A common stock into a pro rata portion of the Trust Account in the event a business combination is approved and completed or the Company has not consummated a business combination by the Extended Termination 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419100</wp:posOffset>
            </wp:positionV>
            <wp:extent cx="7132320" cy="82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2" w:name="page23"/>
    <w:bookmarkEnd w:id="22"/>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If BurTech’s board of directors determines that BurTech will not be able to consummate an initial business combination by the Extended Termination Date, BurTech would then look to wind up the Company’s affairs and redeem 100% of the outstanding public shares of Class A common stock.</w:t>
      </w:r>
    </w:p>
    <w:p>
      <w:pPr>
        <w:spacing w:after="0" w:line="172"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In connection with the Charter Amendment Proposal and the Trust Amendment Proposal, public stockholders may elect (the “</w:t>
      </w:r>
      <w:r>
        <w:rPr>
          <w:rFonts w:ascii="Times New Roman" w:cs="Times New Roman" w:eastAsia="Times New Roman" w:hAnsi="Times New Roman"/>
          <w:sz w:val="18"/>
          <w:szCs w:val="18"/>
          <w:b w:val="1"/>
          <w:bCs w:val="1"/>
          <w:u w:val="single" w:color="auto"/>
          <w:color w:val="auto"/>
        </w:rPr>
        <w:t>Election</w:t>
      </w:r>
      <w:r>
        <w:rPr>
          <w:rFonts w:ascii="Times New Roman" w:cs="Times New Roman" w:eastAsia="Times New Roman" w:hAnsi="Times New Roman"/>
          <w:sz w:val="18"/>
          <w:szCs w:val="18"/>
          <w:color w:val="auto"/>
        </w:rPr>
        <w:t>”) to redeem their shares for a per-share price, payable in cash, equal to the aggregate amount then on deposit in the Trust Account, including interest not previously released to BurTech to pay franchise and income taxes, divided by the number of then outstanding public shares of Class A common stock, regardless of whether such public stockholders vote “FOR” or “AGAINST” the Charter Amendment Proposal, the Trust Amendment Proposal and the Adjournment Proposal, and an Election can also be made by public stockholders who do not vote, or do not instruct their broker or bank how to vote, at the Special Meeting. Public stockholders may make an Election regardless of whether such public stockholders were holders as of the record date. If the Charter Amendment Proposal, the Trust Amendment Proposal and the Adjournment Proposal are approved by the requisite vote of stockholders, the remaining holders of public shares of Class A common stock will retain their right to redeem their public shares of Class A common stock when the Initial Business combination is submitted to the stockholders, subject to any limitations set forth in our Charter, as amended by the Charter Amendment Proposal. However, BurTech will not proceed with the Charter Amendment Proposal or the Trust Amendment Proposal if the redemption of public shares of Class A common stock in connection therewith would cause BurTech to have net tangible assets of less than $5,000,001. Each redemption of shares by our public stockholders will decrease the amount in our Trust Account, which held approximately $292.2 million of marketable securities as of [●], 2022. In addition, public stockholders who do not make the Election would be entitled to have their shares redeemed for cash if BurTech has not completed a business combination by the Extended Termination Date. Our sponsor, our officers and directors and our other initial stockholders, own an aggregate of 10,385,750 shares of our common stock, which includes 9,487,500 shares of Class B common stock that we refer to as the “</w:t>
      </w:r>
      <w:r>
        <w:rPr>
          <w:rFonts w:ascii="Times New Roman" w:cs="Times New Roman" w:eastAsia="Times New Roman" w:hAnsi="Times New Roman"/>
          <w:sz w:val="18"/>
          <w:szCs w:val="18"/>
          <w:b w:val="1"/>
          <w:bCs w:val="1"/>
          <w:u w:val="single" w:color="auto"/>
          <w:color w:val="auto"/>
        </w:rPr>
        <w:t>Founder Shares</w:t>
      </w:r>
      <w:r>
        <w:rPr>
          <w:rFonts w:ascii="Times New Roman" w:cs="Times New Roman" w:eastAsia="Times New Roman" w:hAnsi="Times New Roman"/>
          <w:sz w:val="18"/>
          <w:szCs w:val="18"/>
          <w:color w:val="auto"/>
        </w:rPr>
        <w:t>”, issued prior to our initial public offering (“</w:t>
      </w:r>
      <w:r>
        <w:rPr>
          <w:rFonts w:ascii="Times New Roman" w:cs="Times New Roman" w:eastAsia="Times New Roman" w:hAnsi="Times New Roman"/>
          <w:sz w:val="18"/>
          <w:szCs w:val="18"/>
          <w:b w:val="1"/>
          <w:bCs w:val="1"/>
          <w:u w:val="single" w:color="auto"/>
          <w:color w:val="auto"/>
        </w:rPr>
        <w:t>IPO</w:t>
      </w:r>
      <w:r>
        <w:rPr>
          <w:rFonts w:ascii="Times New Roman" w:cs="Times New Roman" w:eastAsia="Times New Roman" w:hAnsi="Times New Roman"/>
          <w:sz w:val="18"/>
          <w:szCs w:val="18"/>
          <w:color w:val="auto"/>
        </w:rPr>
        <w:t>”) and 898,250 shares of our Class A common stock, which we refer to as the “</w:t>
      </w:r>
      <w:r>
        <w:rPr>
          <w:rFonts w:ascii="Times New Roman" w:cs="Times New Roman" w:eastAsia="Times New Roman" w:hAnsi="Times New Roman"/>
          <w:sz w:val="18"/>
          <w:szCs w:val="18"/>
          <w:b w:val="1"/>
          <w:bCs w:val="1"/>
          <w:u w:val="single" w:color="auto"/>
          <w:color w:val="auto"/>
        </w:rPr>
        <w:t>Private Placement Shares</w:t>
      </w:r>
      <w:r>
        <w:rPr>
          <w:rFonts w:ascii="Times New Roman" w:cs="Times New Roman" w:eastAsia="Times New Roman" w:hAnsi="Times New Roman"/>
          <w:sz w:val="18"/>
          <w:szCs w:val="18"/>
          <w:color w:val="auto"/>
        </w:rPr>
        <w:t>”, that were included in the units purchased in a private placement which occurred simultaneously with the completion of the IPO.</w:t>
      </w:r>
    </w:p>
    <w:p>
      <w:pPr>
        <w:spacing w:after="0" w:line="197"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We have issued to EF Hutton, a division of Benchmark Investments, LLC or their affiliates, as representative of the underwriters in our IPO (the “</w:t>
      </w:r>
      <w:r>
        <w:rPr>
          <w:rFonts w:ascii="Times New Roman" w:cs="Times New Roman" w:eastAsia="Times New Roman" w:hAnsi="Times New Roman"/>
          <w:sz w:val="18"/>
          <w:szCs w:val="18"/>
          <w:b w:val="1"/>
          <w:bCs w:val="1"/>
          <w:u w:val="single" w:color="auto"/>
          <w:color w:val="auto"/>
        </w:rPr>
        <w:t>Representative</w:t>
      </w:r>
      <w:r>
        <w:rPr>
          <w:rFonts w:ascii="Times New Roman" w:cs="Times New Roman" w:eastAsia="Times New Roman" w:hAnsi="Times New Roman"/>
          <w:sz w:val="18"/>
          <w:szCs w:val="18"/>
          <w:color w:val="auto"/>
        </w:rPr>
        <w:t>”), 431,250 shares of our Class A common stock in connection with the consummation of the IPO (including share issued upon exercise of the underwriters’ over-allotment option). We refer to such shares of Class A common stock as the “</w:t>
      </w:r>
      <w:r>
        <w:rPr>
          <w:rFonts w:ascii="Times New Roman" w:cs="Times New Roman" w:eastAsia="Times New Roman" w:hAnsi="Times New Roman"/>
          <w:sz w:val="18"/>
          <w:szCs w:val="18"/>
          <w:b w:val="1"/>
          <w:bCs w:val="1"/>
          <w:u w:val="single" w:color="auto"/>
          <w:color w:val="auto"/>
        </w:rPr>
        <w:t>Representative Shares</w:t>
      </w:r>
      <w:r>
        <w:rPr>
          <w:rFonts w:ascii="Times New Roman" w:cs="Times New Roman" w:eastAsia="Times New Roman" w:hAnsi="Times New Roman"/>
          <w:sz w:val="18"/>
          <w:szCs w:val="18"/>
          <w:color w:val="auto"/>
        </w:rPr>
        <w:t>.” The holders of the Representative Shares have agreed not to transfer, assign or sell any such shares without our prior consent until the completion of our initial business combination. In addition, the holders of the Representative Shares have agreed (i) to waive their redemption rights (or right to participate in any tender offer) with respect to such shares in connection with the completion of our initial business combination and (ii) to waive their rights to liquidating distributions from the trust account with respect to such shares if we fail to complete our initial business combination by the Original Termination 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422910</wp:posOffset>
            </wp:positionV>
            <wp:extent cx="7132320" cy="82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3" w:name="page24"/>
    <w:bookmarkEnd w:id="23"/>
    <w:p>
      <w:pPr>
        <w:jc w:val="both"/>
        <w:ind w:firstLine="648"/>
        <w:spacing w:after="0" w:line="259" w:lineRule="auto"/>
        <w:rPr>
          <w:sz w:val="20"/>
          <w:szCs w:val="20"/>
          <w:color w:val="auto"/>
        </w:rPr>
      </w:pPr>
      <w:r>
        <w:rPr>
          <w:rFonts w:ascii="Times New Roman" w:cs="Times New Roman" w:eastAsia="Times New Roman" w:hAnsi="Times New Roman"/>
          <w:sz w:val="18"/>
          <w:szCs w:val="18"/>
          <w:b w:val="1"/>
          <w:bCs w:val="1"/>
          <w:color w:val="auto"/>
        </w:rPr>
        <w:t>To exercise your redemption rights, you must tender your shares to the Company’s transfer agent at least two business days prior to the Special Meeting (or [●], 2022). You may tender your shares by either delivering your share certificate to the transfer agent or by delivering your shares electronically using the Depository Trust Company’s DWAC (Deposit/Withdrawal At Custodian) system. If you hold your shares in street name, you will need to instruct your bank, broker or other nominee to withdraw the shares from your account in order to exercise your redemption rights.</w:t>
      </w:r>
    </w:p>
    <w:p>
      <w:pPr>
        <w:spacing w:after="0" w:line="183"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As of [November *], 2022, there was approximately $292.2 million in the Trust Account. If the Charter Amendment Proposal and the Trust Amendment Proposal are approved and the Extension Termination Date is extended to September 15, 2023, the redemption price per share at the meeting for the Initial Business combination or the Company’s subsequent liquidation will be approximately $[10.195] per share (without taking into account any interest), in comparison to the current redemption price of approximately $[10.15] per share. The closing price of the Company’s common stock on [●], 2022 was $[●]. The Company cannot assure stockholders that they will be able to sell their shares of the Company’s common stock in the open market, even if the market price per share is higher than the redemption price stated above, as there may not be sufficient liquidity in its securities when such stockholders wish to sell their shares.</w:t>
      </w:r>
    </w:p>
    <w:p>
      <w:pPr>
        <w:spacing w:after="0" w:line="189"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If the Charter Amendment Proposal, the Trust Amendment Proposal and the Adjournment Proposal are not approved and we do not consummate a business combination by March 15, 2023, as contemplated by our IPO prospectus and in accordance with our Charter, we will (i) cease all operations except for the purpose of winding up, (ii) as promptly as reasonably possible but not more than ten business days thereafter, redeem 100% of the outstanding public shares of Class A common stock, at a per-share price, payable in cash, equal to the aggregate amount then on deposit in the trust account, including any interest not previously released to us (net of taxes payable), divided by the number of then outstanding public shares of Class A common stock, which redemption will completely extinguish public stockholders’ rights as stockholders (including the right to receive further liquidation distributions, if any), subject to applicable law, and (iii) as promptly as reasonably possible following such redemption, subject to the approval of our remaining stockholders and our board of directors, dissolve and liquidate, subject (in the case of (ii) and (iii) above) to our obligations under Delaware law to provide for claims of creditors and the requirements of other applicable law. In the event of a liquidation, our sponsor, our officers and directors and our other initial stockholders, including the Representative, will not receive any monies held in the Trust Account as a result of their ownership of the Founder Shares, the Representative Shares or the Private Placement Shares.</w:t>
      </w:r>
    </w:p>
    <w:p>
      <w:pPr>
        <w:spacing w:after="0" w:line="192"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Subject to the foregoing, the affirmative vote of at least a majority of the Company’s outstanding common stock, including the Founder Shares, the Private Placement Shares and the Representative Shares, will be required to approve the Charter Amendment Proposal and the Trust Amendment Proposal. The approval of the Charter Amendment Proposal and the Trust Amendment Proposal are essential to the implementation of our board’s plan to extend the date by which we must consummate our initial business combination. Therefore, our board will abandon and not implement the Charter Amendment Proposal and the Trust Amendment Proposal unless our stockholders approve both the Charter Amendment Proposal and the Trust Amendment Proposal. This means that if one proposal is approved by the stockholders and the other proposal is not, neither proposal will take effect. Notwithstanding stockholder approval of the Charter Amendment Proposal and the Trust Amendment Proposal, our board will retain the right to abandon and not implement the Charter Amendment Proposal and the Trust Amendment Proposal at any time without any further action by our stockholders.</w:t>
      </w:r>
    </w:p>
    <w:p>
      <w:pPr>
        <w:spacing w:after="0" w:line="192"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Our board has fixed the close of business on [●], 2022 as the date for determining the Company stockholders entitled to receive notice of and vote at the Special Meeting and any adjournment thereof. Only holders of record of the Company’s common stock on that date are entitled to have their votes counted at the Special Meeting or any adjournment thereof.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414655</wp:posOffset>
            </wp:positionV>
            <wp:extent cx="7132320"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24" w:name="page25"/>
    <w:bookmarkEnd w:id="24"/>
    <w:p>
      <w:pPr>
        <w:jc w:val="both"/>
        <w:ind w:firstLine="648"/>
        <w:spacing w:after="0" w:line="286" w:lineRule="auto"/>
        <w:rPr>
          <w:sz w:val="20"/>
          <w:szCs w:val="20"/>
          <w:color w:val="auto"/>
        </w:rPr>
      </w:pPr>
      <w:r>
        <w:rPr>
          <w:rFonts w:ascii="Times New Roman" w:cs="Times New Roman" w:eastAsia="Times New Roman" w:hAnsi="Times New Roman"/>
          <w:sz w:val="18"/>
          <w:szCs w:val="18"/>
          <w:b w:val="1"/>
          <w:bCs w:val="1"/>
          <w:color w:val="auto"/>
        </w:rPr>
        <w:t>After careful consideration of all relevant factors, the board of directors has determined that each of the proposals are advisable and recommends that you vote or give instruction to vote “FOR” such proposals.</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Voting Rights and Revocation of Proxies</w:t>
      </w:r>
    </w:p>
    <w:p>
      <w:pPr>
        <w:spacing w:after="0" w:line="225"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color w:val="auto"/>
        </w:rPr>
        <w:t>The record date with respect to this solicitation is the close of business on [●], 2022 (the “</w:t>
      </w:r>
      <w:r>
        <w:rPr>
          <w:rFonts w:ascii="Times New Roman" w:cs="Times New Roman" w:eastAsia="Times New Roman" w:hAnsi="Times New Roman"/>
          <w:sz w:val="18"/>
          <w:szCs w:val="18"/>
          <w:b w:val="1"/>
          <w:bCs w:val="1"/>
          <w:u w:val="single" w:color="auto"/>
          <w:color w:val="auto"/>
        </w:rPr>
        <w:t>Record Date</w:t>
      </w:r>
      <w:r>
        <w:rPr>
          <w:rFonts w:ascii="Times New Roman" w:cs="Times New Roman" w:eastAsia="Times New Roman" w:hAnsi="Times New Roman"/>
          <w:sz w:val="18"/>
          <w:szCs w:val="18"/>
          <w:color w:val="auto"/>
        </w:rPr>
        <w:t>”) and only stockholders of record at that time will be entitled to vote at the Special Meeting and any adjournment or adjournments thereof.</w:t>
      </w:r>
    </w:p>
    <w:p>
      <w:pPr>
        <w:spacing w:after="0" w:line="155" w:lineRule="exact"/>
        <w:rPr>
          <w:sz w:val="20"/>
          <w:szCs w:val="20"/>
          <w:color w:val="auto"/>
        </w:rPr>
      </w:pPr>
    </w:p>
    <w:p>
      <w:pPr>
        <w:jc w:val="both"/>
        <w:ind w:firstLine="648"/>
        <w:spacing w:after="0" w:line="262" w:lineRule="auto"/>
        <w:rPr>
          <w:sz w:val="20"/>
          <w:szCs w:val="20"/>
          <w:color w:val="auto"/>
        </w:rPr>
      </w:pPr>
      <w:r>
        <w:rPr>
          <w:rFonts w:ascii="Times New Roman" w:cs="Times New Roman" w:eastAsia="Times New Roman" w:hAnsi="Times New Roman"/>
          <w:sz w:val="18"/>
          <w:szCs w:val="18"/>
          <w:color w:val="auto"/>
        </w:rPr>
        <w:t>The shares of the Company’s common stock (“</w:t>
      </w:r>
      <w:r>
        <w:rPr>
          <w:rFonts w:ascii="Times New Roman" w:cs="Times New Roman" w:eastAsia="Times New Roman" w:hAnsi="Times New Roman"/>
          <w:sz w:val="18"/>
          <w:szCs w:val="18"/>
          <w:b w:val="1"/>
          <w:bCs w:val="1"/>
          <w:u w:val="single" w:color="auto"/>
          <w:color w:val="auto"/>
        </w:rPr>
        <w:t>Common Stock</w:t>
      </w:r>
      <w:r>
        <w:rPr>
          <w:rFonts w:ascii="Times New Roman" w:cs="Times New Roman" w:eastAsia="Times New Roman" w:hAnsi="Times New Roman"/>
          <w:sz w:val="18"/>
          <w:szCs w:val="18"/>
          <w:color w:val="auto"/>
        </w:rPr>
        <w:t>”) represented by all validly executed proxies received in time to be taken to the Special Meeting and not previously revoked will be voted at the meeting. This proxy may be revoked by the stockholder at any time prior to its being voted by filing with the Secretary of the Company either a notice of revocation or a duly executed proxy bearing a later date. We intend to release this Proxy Statement and the enclosed proxy card to our stockholders on or about [●], 2022.</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Dissenters’ Right of Appraisal</w:t>
      </w:r>
    </w:p>
    <w:p>
      <w:pPr>
        <w:spacing w:after="0" w:line="229"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Holders of shares of our Common Stock do not have appraisal rights under Delaware law or under the governing documents of the Company in connection with this solicitation.</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Outstanding Shares and Quorum</w:t>
      </w:r>
    </w:p>
    <w:p>
      <w:pPr>
        <w:spacing w:after="0" w:line="229"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The number of outstanding shares of Common Stock (which includes the Company’s Class A common stock and Class B common stock) entitled to vote at the Special Meeting is 34,429,500. Each share of Common Stock is entitled to one vote. The presence in person or by proxy at the Special Meeting of the holders of 17,214,751 shares, or a majority of the number of outstanding shares of Common Stock, will constitute a quorum. There is no cumulative voting. Shares that abstain or for which the authority to vote is withheld on certain matters (so-called “broker non-votes”) will be treated as present for quorum purposes on all matters. As of the Record Date for the Special Meeting, 3,989,250 Public Shares, in the aggregate, would be required to achieve a quorum. The Company’s warrants do not carry voting rights.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Broker Non-Votes</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Holders of shares of our Class A common stock that are held in street name must instruct their bank or brokerage firm that holds their shares how to vote their shares. If a stockholder does not give instructions to his or her bank or brokerage firm, it will nevertheless be entitled to vote the shares with respect to “routine” items, but it will not be permitted to vote the shares with respect to “non-routine” items. In the case of a non-routine item, such shares will be considered “broker non-votes” on that proposal.</w:t>
      </w:r>
    </w:p>
    <w:p>
      <w:pPr>
        <w:spacing w:after="0" w:line="18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Proposal 1 (Charter Amendment Proposal) is a matter that we believe will be considered “non-routine.”</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Proposal 2 (Trust Amendment Proposal) is a matter that we believe will be considered “non-routine.”</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Proposal 3 (Adjournment Proposal) is a matter that we believe will be considered “routine.”</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Banks or brokerages cannot use discretionary authority to vote shares on Proposals 1 or 2 if they have not received instructions from their clients.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Please submit your vote instruction form so your vote is counted.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434340</wp:posOffset>
            </wp:positionV>
            <wp:extent cx="7132320" cy="82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25" w:name="page26"/>
    <w:bookmarkEnd w:id="25"/>
    <w:tbl>
      <w:tblPr>
        <w:tblLayout w:type="fixed"/>
        <w:tblInd w:w="0" w:type="dxa"/>
        <w:tblCellMar>
          <w:top w:w="0" w:type="dxa"/>
          <w:left w:w="0" w:type="dxa"/>
          <w:bottom w:w="0" w:type="dxa"/>
          <w:right w:w="0" w:type="dxa"/>
        </w:tblCellMar>
      </w:tblPr>
      <w:tr>
        <w:trPr>
          <w:trHeight w:val="238"/>
        </w:trPr>
        <w:tc>
          <w:tcPr>
            <w:tcW w:w="52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Required Votes for Each Proposal to Pass</w:t>
            </w:r>
          </w:p>
        </w:tc>
        <w:tc>
          <w:tcPr>
            <w:tcW w:w="39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900" w:type="dxa"/>
            <w:vAlign w:val="bottom"/>
          </w:tcPr>
          <w:p>
            <w:pPr>
              <w:spacing w:after="0"/>
              <w:rPr>
                <w:sz w:val="20"/>
                <w:szCs w:val="20"/>
                <w:color w:val="auto"/>
              </w:rPr>
            </w:pPr>
          </w:p>
        </w:tc>
      </w:tr>
      <w:tr>
        <w:trPr>
          <w:trHeight w:val="432"/>
        </w:trPr>
        <w:tc>
          <w:tcPr>
            <w:tcW w:w="5200" w:type="dxa"/>
            <w:vAlign w:val="bottom"/>
            <w:gridSpan w:val="2"/>
          </w:tcPr>
          <w:p>
            <w:pPr>
              <w:ind w:left="660"/>
              <w:spacing w:after="0"/>
              <w:rPr>
                <w:sz w:val="20"/>
                <w:szCs w:val="20"/>
                <w:color w:val="auto"/>
              </w:rPr>
            </w:pPr>
            <w:r>
              <w:rPr>
                <w:rFonts w:ascii="Times New Roman" w:cs="Times New Roman" w:eastAsia="Times New Roman" w:hAnsi="Times New Roman"/>
                <w:sz w:val="18"/>
                <w:szCs w:val="18"/>
                <w:color w:val="auto"/>
              </w:rPr>
              <w:t>Assuming the presence of a quorum at the Special Meeting:</w:t>
            </w:r>
          </w:p>
        </w:tc>
        <w:tc>
          <w:tcPr>
            <w:tcW w:w="39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900" w:type="dxa"/>
            <w:vAlign w:val="bottom"/>
          </w:tcPr>
          <w:p>
            <w:pPr>
              <w:spacing w:after="0"/>
              <w:rPr>
                <w:sz w:val="24"/>
                <w:szCs w:val="24"/>
                <w:color w:val="auto"/>
              </w:rPr>
            </w:pPr>
          </w:p>
        </w:tc>
      </w:tr>
      <w:tr>
        <w:trPr>
          <w:trHeight w:val="410"/>
        </w:trPr>
        <w:tc>
          <w:tcPr>
            <w:tcW w:w="49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9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9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Broker</w:t>
            </w:r>
          </w:p>
        </w:tc>
      </w:tr>
      <w:tr>
        <w:trPr>
          <w:trHeight w:val="216"/>
        </w:trPr>
        <w:tc>
          <w:tcPr>
            <w:tcW w:w="49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9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Discretionary</w:t>
            </w:r>
          </w:p>
        </w:tc>
      </w:tr>
      <w:tr>
        <w:trPr>
          <w:trHeight w:val="238"/>
        </w:trPr>
        <w:tc>
          <w:tcPr>
            <w:tcW w:w="52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Proposal</w:t>
            </w:r>
          </w:p>
        </w:tc>
        <w:tc>
          <w:tcPr>
            <w:tcW w:w="4140" w:type="dxa"/>
            <w:vAlign w:val="bottom"/>
            <w:gridSpan w:val="2"/>
          </w:tcPr>
          <w:p>
            <w:pPr>
              <w:ind w:left="1400"/>
              <w:spacing w:after="0"/>
              <w:rPr>
                <w:sz w:val="20"/>
                <w:szCs w:val="20"/>
                <w:color w:val="auto"/>
              </w:rPr>
            </w:pPr>
            <w:r>
              <w:rPr>
                <w:rFonts w:ascii="Times New Roman" w:cs="Times New Roman" w:eastAsia="Times New Roman" w:hAnsi="Times New Roman"/>
                <w:sz w:val="18"/>
                <w:szCs w:val="18"/>
                <w:b w:val="1"/>
                <w:bCs w:val="1"/>
                <w:color w:val="auto"/>
              </w:rPr>
              <w:t>Vote Required</w:t>
            </w:r>
          </w:p>
        </w:tc>
        <w:tc>
          <w:tcPr>
            <w:tcW w:w="19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Vote Allowed</w:t>
            </w:r>
          </w:p>
        </w:tc>
      </w:tr>
      <w:tr>
        <w:trPr>
          <w:trHeight w:val="209"/>
        </w:trPr>
        <w:tc>
          <w:tcPr>
            <w:tcW w:w="4960" w:type="dxa"/>
            <w:vAlign w:val="bottom"/>
            <w:tcBorders>
              <w:top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392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900" w:type="dxa"/>
            <w:vAlign w:val="bottom"/>
            <w:tcBorders>
              <w:top w:val="single" w:sz="8" w:color="auto"/>
            </w:tcBorders>
          </w:tcPr>
          <w:p>
            <w:pPr>
              <w:spacing w:after="0"/>
              <w:rPr>
                <w:sz w:val="18"/>
                <w:szCs w:val="18"/>
                <w:color w:val="auto"/>
              </w:rPr>
            </w:pPr>
          </w:p>
        </w:tc>
      </w:tr>
      <w:tr>
        <w:trPr>
          <w:trHeight w:val="216"/>
        </w:trPr>
        <w:tc>
          <w:tcPr>
            <w:tcW w:w="52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Charter Amendment Proposal</w:t>
            </w:r>
          </w:p>
        </w:tc>
        <w:tc>
          <w:tcPr>
            <w:tcW w:w="41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More than 65% of outstanding shares</w:t>
            </w:r>
          </w:p>
        </w:tc>
        <w:tc>
          <w:tcPr>
            <w:tcW w:w="19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No</w:t>
            </w:r>
          </w:p>
        </w:tc>
      </w:tr>
      <w:tr>
        <w:trPr>
          <w:trHeight w:val="216"/>
        </w:trPr>
        <w:tc>
          <w:tcPr>
            <w:tcW w:w="52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Trust Amendment Proposal</w:t>
            </w:r>
          </w:p>
        </w:tc>
        <w:tc>
          <w:tcPr>
            <w:tcW w:w="41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More than 65% of outstanding shares</w:t>
            </w:r>
          </w:p>
        </w:tc>
        <w:tc>
          <w:tcPr>
            <w:tcW w:w="19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No</w:t>
            </w:r>
          </w:p>
        </w:tc>
      </w:tr>
      <w:tr>
        <w:trPr>
          <w:trHeight w:val="198"/>
        </w:trPr>
        <w:tc>
          <w:tcPr>
            <w:tcW w:w="5200" w:type="dxa"/>
            <w:vAlign w:val="bottom"/>
            <w:gridSpan w:val="2"/>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Adjournment</w:t>
            </w:r>
          </w:p>
        </w:tc>
        <w:tc>
          <w:tcPr>
            <w:tcW w:w="4140" w:type="dxa"/>
            <w:vAlign w:val="bottom"/>
            <w:gridSpan w:val="2"/>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Majority of the outstanding shares represented by</w:t>
            </w:r>
          </w:p>
        </w:tc>
        <w:tc>
          <w:tcPr>
            <w:tcW w:w="1900" w:type="dxa"/>
            <w:vAlign w:val="bottom"/>
            <w:shd w:val="clear" w:color="auto" w:fill="CCEEFF"/>
          </w:tcPr>
          <w:p>
            <w:pPr>
              <w:jc w:val="center"/>
              <w:spacing w:after="0" w:line="198" w:lineRule="exact"/>
              <w:rPr>
                <w:sz w:val="20"/>
                <w:szCs w:val="20"/>
                <w:color w:val="auto"/>
              </w:rPr>
            </w:pPr>
            <w:r>
              <w:rPr>
                <w:rFonts w:ascii="Times New Roman" w:cs="Times New Roman" w:eastAsia="Times New Roman" w:hAnsi="Times New Roman"/>
                <w:sz w:val="18"/>
                <w:szCs w:val="18"/>
                <w:color w:val="auto"/>
                <w:w w:val="92"/>
              </w:rPr>
              <w:t>Yes</w:t>
            </w:r>
          </w:p>
        </w:tc>
      </w:tr>
      <w:tr>
        <w:trPr>
          <w:trHeight w:val="216"/>
        </w:trPr>
        <w:tc>
          <w:tcPr>
            <w:tcW w:w="49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41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virtual attendance or by proxy and entitled to vote</w:t>
            </w:r>
          </w:p>
        </w:tc>
        <w:tc>
          <w:tcPr>
            <w:tcW w:w="1900" w:type="dxa"/>
            <w:vAlign w:val="bottom"/>
            <w:shd w:val="clear" w:color="auto" w:fill="CCEEFF"/>
          </w:tcPr>
          <w:p>
            <w:pPr>
              <w:spacing w:after="0"/>
              <w:rPr>
                <w:sz w:val="18"/>
                <w:szCs w:val="18"/>
                <w:color w:val="auto"/>
              </w:rPr>
            </w:pPr>
          </w:p>
        </w:tc>
      </w:tr>
      <w:tr>
        <w:trPr>
          <w:trHeight w:val="234"/>
        </w:trPr>
        <w:tc>
          <w:tcPr>
            <w:tcW w:w="496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41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thereon at the Special Meeting</w:t>
            </w:r>
          </w:p>
        </w:tc>
        <w:tc>
          <w:tcPr>
            <w:tcW w:w="1900" w:type="dxa"/>
            <w:vAlign w:val="bottom"/>
            <w:shd w:val="clear" w:color="auto" w:fill="CCEEFF"/>
          </w:tcPr>
          <w:p>
            <w:pPr>
              <w:spacing w:after="0"/>
              <w:rPr>
                <w:sz w:val="20"/>
                <w:szCs w:val="20"/>
                <w:color w:val="auto"/>
              </w:rPr>
            </w:pPr>
          </w:p>
        </w:tc>
      </w:tr>
    </w:tbl>
    <w:p>
      <w:pPr>
        <w:spacing w:after="0" w:line="19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Abstentions will count as a vote against each of the proposals.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Interests of the Company’s Directors and Officers</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When you consider the recommendation of our board, you should keep in mind that the Company’s initial stockholders, sponsor, officers, directors and advisors have interests that may be different from, or in addition to, your interests as a stockholder. These interests include, among other things:</w:t>
      </w:r>
    </w:p>
    <w:p>
      <w:pPr>
        <w:spacing w:after="0" w:line="162" w:lineRule="exact"/>
        <w:rPr>
          <w:sz w:val="20"/>
          <w:szCs w:val="20"/>
          <w:color w:val="auto"/>
        </w:rPr>
      </w:pPr>
    </w:p>
    <w:p>
      <w:pPr>
        <w:ind w:left="980" w:hanging="324"/>
        <w:spacing w:after="0" w:line="282" w:lineRule="auto"/>
        <w:tabs>
          <w:tab w:leader="none" w:pos="980"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fact that the Sponsor paid an aggregate of $25,000 for its Founder Shares and such securities will have a significantly higher value at the time of the Initial Business Combination;</w:t>
      </w:r>
    </w:p>
    <w:p>
      <w:pPr>
        <w:spacing w:after="0" w:line="161" w:lineRule="exact"/>
        <w:rPr>
          <w:rFonts w:ascii="Times New Roman" w:cs="Times New Roman" w:eastAsia="Times New Roman" w:hAnsi="Times New Roman"/>
          <w:sz w:val="18"/>
          <w:szCs w:val="18"/>
          <w:color w:val="auto"/>
        </w:rPr>
      </w:pPr>
    </w:p>
    <w:p>
      <w:pPr>
        <w:jc w:val="both"/>
        <w:ind w:left="980" w:hanging="324"/>
        <w:spacing w:after="0" w:line="254" w:lineRule="auto"/>
        <w:tabs>
          <w:tab w:leader="none" w:pos="980"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fact that if the Initial Business Combination is not approved, in accordance with our Charter, the 9,487,500 Founder Shares held by our sponsor, our officers and directors, which were acquired prior to the IPO for an aggregate purchase price of $25,000, will be worthless (as the holders have waived liquidation rights with respect to such shares), as will the 898,250 Private Placement Shares included in the private units that were acquired simultaneously with the IPO in the private placement for an aggregate purchase price of $8,982,500 and the additional 93,750 Private Placement Shares that were included in the private units acquired in connection with the exercise of the overallotment option for an aggregate purchase price of $937,500. Irrespective of existing lock-up agreements that impose restrictions on the transfer of the Founder Shares and Private Placement Shares, such Founder Shares and Private Placement Shares had an aggregate market value of approximately $[•] based on the last sale price of $[•], on Nasdaq on [•], 2022;</w:t>
      </w:r>
    </w:p>
    <w:p>
      <w:pPr>
        <w:spacing w:after="0" w:line="191" w:lineRule="exact"/>
        <w:rPr>
          <w:rFonts w:ascii="Times New Roman" w:cs="Times New Roman" w:eastAsia="Times New Roman" w:hAnsi="Times New Roman"/>
          <w:sz w:val="18"/>
          <w:szCs w:val="18"/>
          <w:color w:val="auto"/>
        </w:rPr>
      </w:pPr>
    </w:p>
    <w:p>
      <w:pPr>
        <w:jc w:val="both"/>
        <w:ind w:left="980" w:hanging="324"/>
        <w:spacing w:after="0" w:line="261" w:lineRule="auto"/>
        <w:tabs>
          <w:tab w:leader="none" w:pos="980"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are unable to complete a business combination and distribute the proceeds held in trust to our public stockholders, our sponsor has agreed (subject to certain exceptions) that it will be liable to ensure that the proceeds in the trust account are not reduced below $10.15 per share by the claims of target businesses or claims of vendors or other entities that are owed money by us for services rendered or contracted for or products sold to us;</w:t>
      </w:r>
    </w:p>
    <w:p>
      <w:pPr>
        <w:spacing w:after="0" w:line="179" w:lineRule="exact"/>
        <w:rPr>
          <w:rFonts w:ascii="Times New Roman" w:cs="Times New Roman" w:eastAsia="Times New Roman" w:hAnsi="Times New Roman"/>
          <w:sz w:val="18"/>
          <w:szCs w:val="18"/>
          <w:color w:val="auto"/>
        </w:rPr>
      </w:pPr>
    </w:p>
    <w:p>
      <w:pPr>
        <w:jc w:val="both"/>
        <w:ind w:left="980" w:hanging="324"/>
        <w:spacing w:after="0" w:line="261" w:lineRule="auto"/>
        <w:tabs>
          <w:tab w:leader="none" w:pos="980"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rights specified in the Company’s Charter relating to the right of officers and directors to be indemnified by the Company, and of the Company’s officers and directors to be exculpated from monetary liability with respect to prior acts or omissions, will continue after a business combination. If the Initial Business Combination is not approved and the Company liquidates, the Company will not be able to perform its obligations to its officers and directors under those provisions; and</w:t>
      </w:r>
    </w:p>
    <w:p>
      <w:pPr>
        <w:spacing w:after="0" w:line="179" w:lineRule="exact"/>
        <w:rPr>
          <w:rFonts w:ascii="Times New Roman" w:cs="Times New Roman" w:eastAsia="Times New Roman" w:hAnsi="Times New Roman"/>
          <w:sz w:val="18"/>
          <w:szCs w:val="18"/>
          <w:color w:val="auto"/>
        </w:rPr>
      </w:pPr>
    </w:p>
    <w:p>
      <w:pPr>
        <w:jc w:val="both"/>
        <w:ind w:left="980" w:hanging="324"/>
        <w:spacing w:after="0" w:line="258" w:lineRule="auto"/>
        <w:tabs>
          <w:tab w:leader="none" w:pos="980"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sponsor, officers, directors, initial stockholders or their affiliates, are entitled to reimbursement of out-of-pocket expenses incurred by them in connection with certain activities on our behalf, such as identifying and investigating possible business targets and business combinations. However, if the Company fails to consummate the Initial Business Combination, they will not have any claim against the trust account for reimbursement. Accordingly, the Company will most likely not be able to reimburse these expenses if the Initial Business Combination is not completed. As of [●], 2022 no out-of-pocket expenses are owed to BurTech’s officers, directors and Sponsor.</w:t>
      </w:r>
    </w:p>
    <w:p>
      <w:pPr>
        <w:spacing w:after="0" w:line="183"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Additionally, if the Charter Amendment Proposal and the Trust Amendment Proposal are approved, the Extension is implemented and the Company consummates an initial business combination, the officers and directors may have additional interests that would be described in the proxy statement for such transaction.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414655</wp:posOffset>
            </wp:positionV>
            <wp:extent cx="7132320" cy="82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8"/>
          <w:szCs w:val="18"/>
          <w:b w:val="1"/>
          <w:bCs w:val="1"/>
          <w:color w:val="auto"/>
        </w:rPr>
        <w:t>Voting Procedures</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Each share of our Class A common stock that you own in your name entitles you to one vote on each of the proposals for the Special Meeting.</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Your proxy card shows the number of shares of our common stock that you own.</w:t>
      </w:r>
    </w:p>
    <w:p>
      <w:pPr>
        <w:spacing w:after="0" w:line="207" w:lineRule="exact"/>
        <w:rPr>
          <w:sz w:val="20"/>
          <w:szCs w:val="20"/>
          <w:color w:val="auto"/>
        </w:rPr>
      </w:pPr>
    </w:p>
    <w:p>
      <w:pPr>
        <w:jc w:val="both"/>
        <w:ind w:left="980" w:hanging="324"/>
        <w:spacing w:after="0" w:line="255" w:lineRule="auto"/>
        <w:tabs>
          <w:tab w:leader="none" w:pos="980"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You can vote your shares in advance of the Special Meeting by completing, signing, dating and returning the enclosed proxy card in the postage-paid envelope provided. If you hold your shares in “street name” through a broker, bank or other nominee, you will need to follow the instructions provided to you by your broker, bank or other nominee to ensure that your shares are represented and voted at the Special Meeting. If you vote by proxy card, your “proxy,” whose name is listed on the proxy card, will vote your shares as you instruct on the proxy card. If you sign and return the proxy card but do not give instructions on how to vote your shares, your shares of our Class A common stock will be voted as recommended by our board of directors. Our board of directors recommends voting “FOR” the Charter Amendment Proposal, the Trust Amendment Proposal and the Adjournment Proposal.</w:t>
      </w:r>
    </w:p>
    <w:p>
      <w:pPr>
        <w:spacing w:after="0" w:line="188" w:lineRule="exact"/>
        <w:rPr>
          <w:rFonts w:ascii="Times New Roman" w:cs="Times New Roman" w:eastAsia="Times New Roman" w:hAnsi="Times New Roman"/>
          <w:sz w:val="18"/>
          <w:szCs w:val="18"/>
          <w:color w:val="auto"/>
        </w:rPr>
      </w:pPr>
    </w:p>
    <w:p>
      <w:pPr>
        <w:jc w:val="both"/>
        <w:ind w:left="980" w:hanging="324"/>
        <w:spacing w:after="0" w:line="266" w:lineRule="auto"/>
        <w:tabs>
          <w:tab w:leader="none" w:pos="980"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You can attend the Special Meeting and vote telephonically even if you have previously voted by submitting a proxy. However, if your shares of common stock are held in the name of your broker, bank or other nominee, you must get a proxy from the broker, bank or other nominee. That is the only way we can be sure that the broker, bank or nominee has not already voted your shares of common stock.</w:t>
      </w:r>
    </w:p>
    <w:p>
      <w:pPr>
        <w:spacing w:after="0" w:line="1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Solicitation of Proxies</w:t>
      </w:r>
    </w:p>
    <w:p>
      <w:pPr>
        <w:spacing w:after="0" w:line="229"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Your proxy is being solicited by our board on the proposals being presented to stockholders at the Special Meeting. The Company has agreed to pay [*]. (“[Proxy Agent]”) its customary fee and out-of-pocket expenses. The Company will reimburse [Proxy Agent] for reasonable out-of-pocket expenses and will indemnify [Proxy Agent] and its affiliates against certain claims, liabilities, losses, damages and expenses. In addition to these mailed proxy materials, our directors and officers may also solicit proxies in person, by telephone or by other means of communication. These parties will not be paid any additional compensation for soliciting proxies. We may also reimburse brokerage firms, banks and other agents for the cost of forwarding proxy materials to beneficial owners. You may contact [*]:</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[Proxy Agent]</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Toll Free: [*]</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Collect: [*]</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xml:space="preserve">Email: </w:t>
      </w:r>
      <w:r>
        <w:rPr>
          <w:rFonts w:ascii="Times New Roman" w:cs="Times New Roman" w:eastAsia="Times New Roman" w:hAnsi="Times New Roman"/>
          <w:sz w:val="18"/>
          <w:szCs w:val="18"/>
          <w:u w:val="single" w:color="auto"/>
          <w:color w:val="auto"/>
        </w:rPr>
        <w:t>[*]</w:t>
      </w:r>
    </w:p>
    <w:p>
      <w:pPr>
        <w:spacing w:after="0" w:line="207"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The cost of preparing, assembling, printing and mailing this Proxy Statement and the accompanying form of proxy, and the cost of soliciting proxies relating to the Special Meeting, will be borne by the Company.</w:t>
      </w:r>
    </w:p>
    <w:p>
      <w:pPr>
        <w:spacing w:after="0" w:line="162"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Some banks and brokers have customers who beneficially own common stock listed of record in the names of nominees. We intend to request banks and brokers to solicit such customers and will reimburse them for their reasonable out-of-pocket expenses for such solicitations. If any additional solicitation of the holders of our outstanding common stock is deemed necessary, we (through our directors and officers) anticipate making such solicitation directly.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417195</wp:posOffset>
            </wp:positionV>
            <wp:extent cx="7132320"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8"/>
          <w:szCs w:val="18"/>
          <w:b w:val="1"/>
          <w:bCs w:val="1"/>
          <w:color w:val="auto"/>
        </w:rPr>
        <w:t>Delivery of Proxy Materials to Stockholders</w:t>
      </w:r>
    </w:p>
    <w:p>
      <w:pPr>
        <w:spacing w:after="0" w:line="229"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Only one copy of this Proxy Statement will be delivered to an address where two or more stockholders reside with the same last name or whom otherwise reasonably appear to be members of the same family based on the stockholders’ prior express or implied consent.</w:t>
      </w:r>
    </w:p>
    <w:p>
      <w:pPr>
        <w:spacing w:after="0" w:line="162"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We will deliver promptly upon written or oral request a separate copy of this Proxy Statement. If you share an address with at least one other stockholder, currently receive one copy of our Proxy Statement at your residence, and would like to receive a separate copy of our Proxy Statement for future stockholder meetings of the Company, please specify such request in writing and send such written request to BurTech Acquisition Corp., 1300 Pennsylvania Ave NW, Suite 700, Washington, DC 20004; Attention: Secretary, or call the Company promptly at (202) 600-5757.</w:t>
      </w:r>
    </w:p>
    <w:p>
      <w:pPr>
        <w:spacing w:after="0" w:line="180"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If you share an address with at least one other stockholder and currently receive multiple copies of our Proxy Statement, and you would like to receive a single copy of our Proxy Statement, please specify such request in writing and send such written request to BurTech Acquisition Corp., 1300 Pennsylvania Ave NW, Suite 700, Washington, DC 20004; Attention: Secretary.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414655</wp:posOffset>
            </wp:positionV>
            <wp:extent cx="7132320" cy="82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8"/>
          <w:szCs w:val="18"/>
          <w:b w:val="1"/>
          <w:bCs w:val="1"/>
          <w:color w:val="auto"/>
        </w:rPr>
        <w:t>Conversion Rights</w:t>
      </w:r>
    </w:p>
    <w:p>
      <w:pPr>
        <w:spacing w:after="0" w:line="229"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Pursuant to our currently existing charter, any holders of our public shares of Class A common stock may demand that such shares be converted for a pro rata share of the aggregate amount on deposit in the trust account, less taxes payable, calculated as of two business days prior to the Special Meeting. Public stockholders may seek to have their shares redeemed regardless of whether they vote for or against the proposals and whether or not they are holders of our common stock as of the Record Date. If you properly exercise your conversion rights, your shares will cease to be outstanding and will represent only the right to receive a pro rata share of the aggregate amount on deposit in the trust account which holds the proceeds of our IPO (calculated as of two business days prior to the Special Meeting),. For illustrative purposes, based on funds in the trust account of approximately $292.2 million on [November *], 2022, the estimated per share conversion price would have been approximately $[●].</w:t>
      </w:r>
    </w:p>
    <w:p>
      <w:pPr>
        <w:spacing w:after="0" w:line="18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In order to exercise your conversion rights, you must:</w:t>
      </w:r>
    </w:p>
    <w:p>
      <w:pPr>
        <w:spacing w:after="0" w:line="225" w:lineRule="exact"/>
        <w:rPr>
          <w:sz w:val="20"/>
          <w:szCs w:val="20"/>
          <w:color w:val="auto"/>
        </w:rPr>
      </w:pPr>
    </w:p>
    <w:p>
      <w:pPr>
        <w:jc w:val="both"/>
        <w:ind w:left="980" w:hanging="324"/>
        <w:spacing w:after="0" w:line="282" w:lineRule="auto"/>
        <w:tabs>
          <w:tab w:leader="none" w:pos="980"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submit a request in writing prior to 5:00 p.m., Eastern time on [●], 2022 (two business days before the Special Meeting) that we convert your public shares of Class A common stock for cash to Continental Stock Transfer &amp; Trust Company, our transfer agent, at the following address:</w:t>
      </w:r>
    </w:p>
    <w:p>
      <w:pPr>
        <w:spacing w:after="0" w:line="162" w:lineRule="exact"/>
        <w:rPr>
          <w:sz w:val="20"/>
          <w:szCs w:val="20"/>
          <w:color w:val="auto"/>
        </w:rPr>
      </w:pPr>
    </w:p>
    <w:p>
      <w:pPr>
        <w:ind w:left="3980"/>
        <w:spacing w:after="0"/>
        <w:rPr>
          <w:sz w:val="20"/>
          <w:szCs w:val="20"/>
          <w:color w:val="auto"/>
        </w:rPr>
      </w:pPr>
      <w:r>
        <w:rPr>
          <w:rFonts w:ascii="Times New Roman" w:cs="Times New Roman" w:eastAsia="Times New Roman" w:hAnsi="Times New Roman"/>
          <w:sz w:val="18"/>
          <w:szCs w:val="18"/>
          <w:color w:val="auto"/>
        </w:rPr>
        <w:t>Continental Stock Transfer &amp; Trust Company</w:t>
      </w:r>
    </w:p>
    <w:p>
      <w:pPr>
        <w:spacing w:after="0" w:line="27" w:lineRule="exact"/>
        <w:rPr>
          <w:sz w:val="20"/>
          <w:szCs w:val="20"/>
          <w:color w:val="auto"/>
        </w:rPr>
      </w:pPr>
    </w:p>
    <w:p>
      <w:pPr>
        <w:ind w:left="4720"/>
        <w:spacing w:after="0"/>
        <w:rPr>
          <w:sz w:val="20"/>
          <w:szCs w:val="20"/>
          <w:color w:val="auto"/>
        </w:rPr>
      </w:pPr>
      <w:r>
        <w:rPr>
          <w:rFonts w:ascii="Times New Roman" w:cs="Times New Roman" w:eastAsia="Times New Roman" w:hAnsi="Times New Roman"/>
          <w:sz w:val="18"/>
          <w:szCs w:val="18"/>
          <w:color w:val="auto"/>
        </w:rPr>
        <w:t>1 State Street, 30th Floor</w:t>
      </w:r>
    </w:p>
    <w:p>
      <w:pPr>
        <w:spacing w:after="0" w:line="9" w:lineRule="exact"/>
        <w:rPr>
          <w:sz w:val="20"/>
          <w:szCs w:val="20"/>
          <w:color w:val="auto"/>
        </w:rPr>
      </w:pPr>
    </w:p>
    <w:p>
      <w:pPr>
        <w:ind w:left="4860"/>
        <w:spacing w:after="0"/>
        <w:rPr>
          <w:sz w:val="20"/>
          <w:szCs w:val="20"/>
          <w:color w:val="auto"/>
        </w:rPr>
      </w:pPr>
      <w:r>
        <w:rPr>
          <w:rFonts w:ascii="Times New Roman" w:cs="Times New Roman" w:eastAsia="Times New Roman" w:hAnsi="Times New Roman"/>
          <w:sz w:val="18"/>
          <w:szCs w:val="18"/>
          <w:color w:val="auto"/>
        </w:rPr>
        <w:t>New York, NY 10004</w:t>
      </w:r>
    </w:p>
    <w:p>
      <w:pPr>
        <w:spacing w:after="0" w:line="9" w:lineRule="exact"/>
        <w:rPr>
          <w:sz w:val="20"/>
          <w:szCs w:val="20"/>
          <w:color w:val="auto"/>
        </w:rPr>
      </w:pPr>
    </w:p>
    <w:p>
      <w:pPr>
        <w:ind w:left="4880"/>
        <w:spacing w:after="0"/>
        <w:rPr>
          <w:sz w:val="20"/>
          <w:szCs w:val="20"/>
          <w:color w:val="auto"/>
        </w:rPr>
      </w:pPr>
      <w:r>
        <w:rPr>
          <w:rFonts w:ascii="Times New Roman" w:cs="Times New Roman" w:eastAsia="Times New Roman" w:hAnsi="Times New Roman"/>
          <w:sz w:val="18"/>
          <w:szCs w:val="18"/>
          <w:color w:val="auto"/>
        </w:rPr>
        <w:t>Attn: Mark Zimkind</w:t>
      </w:r>
    </w:p>
    <w:p>
      <w:pPr>
        <w:spacing w:after="0" w:line="9" w:lineRule="exact"/>
        <w:rPr>
          <w:sz w:val="20"/>
          <w:szCs w:val="20"/>
          <w:color w:val="auto"/>
        </w:rPr>
      </w:pPr>
    </w:p>
    <w:p>
      <w:pPr>
        <w:ind w:left="4120"/>
        <w:spacing w:after="0"/>
        <w:rPr>
          <w:sz w:val="20"/>
          <w:szCs w:val="20"/>
          <w:color w:val="auto"/>
        </w:rPr>
      </w:pPr>
      <w:r>
        <w:rPr>
          <w:rFonts w:ascii="Times New Roman" w:cs="Times New Roman" w:eastAsia="Times New Roman" w:hAnsi="Times New Roman"/>
          <w:sz w:val="18"/>
          <w:szCs w:val="18"/>
          <w:color w:val="auto"/>
        </w:rPr>
        <w:t>E-mail: mzimkind@continentalstock.com</w:t>
      </w:r>
    </w:p>
    <w:p>
      <w:pPr>
        <w:spacing w:after="0" w:line="20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and</w:t>
      </w:r>
    </w:p>
    <w:p>
      <w:pPr>
        <w:spacing w:after="0" w:line="225" w:lineRule="exact"/>
        <w:rPr>
          <w:sz w:val="20"/>
          <w:szCs w:val="20"/>
          <w:color w:val="auto"/>
        </w:rPr>
      </w:pPr>
    </w:p>
    <w:p>
      <w:pPr>
        <w:jc w:val="both"/>
        <w:ind w:left="980" w:hanging="324"/>
        <w:spacing w:after="0" w:line="255" w:lineRule="auto"/>
        <w:tabs>
          <w:tab w:leader="none" w:pos="980"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deliver your shares of Class A common stock either physically or electronically through DTC to our transfer agent at least two business days before the Special Meeting. Stockholders seeking to exercise their conversion rights and opting to deliver physical certificates should allot sufficient time to obtain physical certificates from the transfer agent and time to effect delivery. It is our understanding that stockholders should generally allot at least two weeks to obtain physical certificates from the transfer agent. However, we do not have any control over this process and it may take longer than two weeks. Stockholders who hold their shares in street name will have to coordinate with their broker, bank or other nominee to have the shares certificated or delivered electronically. If you do not submit a written request and deliver your shares of Class A common stock as described above, your shares will not be redeemed.</w:t>
      </w:r>
    </w:p>
    <w:p>
      <w:pPr>
        <w:spacing w:after="0" w:line="18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Any demand for conversion, once made, may be withdrawn at any time until the deadline for exercising conversion requests (and submitting shares to the transfer agent) and thereafter, with our consent. If you delivered your shares for conversion to our transfer agent and decide within the required timeframe not to exercise your conversion rights, you may request that our transfer agent return the shares (physically or electronically). You may make such request by contacting our transfer agent at the phone number or address listed above.</w:t>
      </w:r>
    </w:p>
    <w:p>
      <w:pPr>
        <w:spacing w:after="0" w:line="180"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Prior to exercising conversion rights, stockholders should verify the market price of our common stock, as they may receive higher proceeds from the sale of their common stock in the public market than from exercising their conversion rights if the market price per share is higher than the conversion price. We cannot assure you that you will be able to sell your shares of our common stock in the open market, even if the market price per share is higher than the conversion price stated above, as there may not be sufficient liquidity in our common stock when you wish to sell your shares.</w:t>
      </w:r>
    </w:p>
    <w:p>
      <w:pPr>
        <w:spacing w:after="0" w:line="180"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If you exercise your conversion rights, your shares of our common stock will cease to be outstanding immediately prior to the Special Meeting (assuming the Charter Amendment Proposal and the Trust Amendment Proposal are approved) and will only represent the right to receive a pro rata share of the aggregate amount on deposit in the trust account. You will no longer own those shares and will have no right to participate in, or have any interest in, the future growth of the Company, if any. You will be entitled to receive cash for these shares only if you properly and timely request conversion.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417195</wp:posOffset>
            </wp:positionV>
            <wp:extent cx="7132320" cy="82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29" w:name="page30"/>
    <w:bookmarkEnd w:id="29"/>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If the Charter Amendment Proposal and the Trust Amendment Proposal are not approved and we do not consummate an initial business combination by March 15, 2023, we will be required to dissolve and liquidate our trust account by returning the then remaining funds in such account to the public stockholders and our rights to convert into common stock will be worthless.</w:t>
      </w:r>
    </w:p>
    <w:p>
      <w:pPr>
        <w:spacing w:after="0" w:line="176"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Holders of outstanding units must separate the underlying shares of Class A common stock and public warrants prior to exercising conversion rights with respect to the shares of Class A common stock.</w:t>
      </w:r>
    </w:p>
    <w:p>
      <w:pPr>
        <w:spacing w:after="0" w:line="162"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If you hold units registered in your own name, you must deliver the certificate for such units to Continental Stock Transfer &amp; Trust Company with written instructions to separate such units into public shares of Class A common stock and public warrants. This must be completed far enough in advance to permit the mailing of the public share certificates back to you so that you may then exercise your conversion rights with respect to the public shares of Class A common stock upon the separation of the public shares of Class A common stock from the units.</w:t>
      </w:r>
    </w:p>
    <w:p>
      <w:pPr>
        <w:spacing w:after="0" w:line="180"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If a broker, dealer, commercial bank, trust company or other nominee holds your units, you must instruct such nominee to separate your units. Your nominee must send written instructions by facsimile to Continental Stock Transfer &amp; Trust Company. Such written instructions must include the number of units to be split and the nominee holding such units. Your nominee must also initiate electronically, using DTC’s deposit withdrawal at custodian (DWAC) system, a withdrawal of the relevant units and a deposit of an equal number of public shares of Class A common stock and public warrants. This must be completed far enough in advance to permit your nominee to exercise your conversion rights with respect to the public shares of Class A common stock upon the separation of the public shares of Class A common stock from the units. While this is typically done electronically the same business day, you should allow at least one full business day to accomplish the separation. If you fail to cause your public shares of Class A common stock to be separated in a timely manner, you will likely not be able to exercise your conversion rights.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424815</wp:posOffset>
            </wp:positionV>
            <wp:extent cx="7132320" cy="82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30" w:name="page31"/>
    <w:bookmarkEnd w:id="30"/>
    <w:p>
      <w:pPr>
        <w:jc w:val="center"/>
        <w:spacing w:after="0"/>
        <w:rPr>
          <w:sz w:val="20"/>
          <w:szCs w:val="20"/>
          <w:color w:val="auto"/>
        </w:rPr>
      </w:pPr>
      <w:r>
        <w:rPr>
          <w:rFonts w:ascii="Times New Roman" w:cs="Times New Roman" w:eastAsia="Times New Roman" w:hAnsi="Times New Roman"/>
          <w:sz w:val="18"/>
          <w:szCs w:val="18"/>
          <w:b w:val="1"/>
          <w:bCs w:val="1"/>
          <w:color w:val="auto"/>
        </w:rPr>
        <w:t>SECURITY OWNERSHIP OF CERTAIN BENEFICIAL OWNERS AND MANAGEMENT</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following table sets forth certain information with respect to the beneficial ownership of our voting securities by (i) each person who is known by us to be the beneficial owner of more than 5% of our issued and outstanding common stock, (ii) each of our officers and directors, and (iii) all of our officers and directors as a group as of the Record Date.</w:t>
      </w:r>
    </w:p>
    <w:p>
      <w:pPr>
        <w:spacing w:after="0" w:line="38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380" w:type="dxa"/>
            <w:vAlign w:val="bottom"/>
          </w:tcPr>
          <w:p>
            <w:pPr>
              <w:spacing w:after="0"/>
              <w:rPr>
                <w:sz w:val="18"/>
                <w:szCs w:val="18"/>
                <w:color w:val="auto"/>
              </w:rPr>
            </w:pPr>
          </w:p>
        </w:tc>
        <w:tc>
          <w:tcPr>
            <w:tcW w:w="4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4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231F20"/>
              </w:rPr>
              <w:t>Number of</w:t>
            </w:r>
          </w:p>
        </w:tc>
        <w:tc>
          <w:tcPr>
            <w:tcW w:w="1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380" w:type="dxa"/>
            <w:vAlign w:val="bottom"/>
          </w:tcPr>
          <w:p>
            <w:pPr>
              <w:spacing w:after="0"/>
              <w:rPr>
                <w:sz w:val="18"/>
                <w:szCs w:val="18"/>
                <w:color w:val="auto"/>
              </w:rPr>
            </w:pPr>
          </w:p>
        </w:tc>
        <w:tc>
          <w:tcPr>
            <w:tcW w:w="4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4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231F20"/>
                <w:w w:val="99"/>
              </w:rPr>
              <w:t>Shares</w:t>
            </w:r>
          </w:p>
        </w:tc>
        <w:tc>
          <w:tcPr>
            <w:tcW w:w="1400" w:type="dxa"/>
            <w:vAlign w:val="bottom"/>
            <w:gridSpan w:val="2"/>
          </w:tcPr>
          <w:p>
            <w:pPr>
              <w:jc w:val="center"/>
              <w:ind w:right="160"/>
              <w:spacing w:after="0"/>
              <w:rPr>
                <w:sz w:val="20"/>
                <w:szCs w:val="20"/>
                <w:color w:val="auto"/>
              </w:rPr>
            </w:pPr>
            <w:r>
              <w:rPr>
                <w:rFonts w:ascii="Times New Roman" w:cs="Times New Roman" w:eastAsia="Times New Roman" w:hAnsi="Times New Roman"/>
                <w:sz w:val="18"/>
                <w:szCs w:val="18"/>
                <w:b w:val="1"/>
                <w:bCs w:val="1"/>
                <w:color w:val="231F20"/>
                <w:w w:val="99"/>
              </w:rPr>
              <w:t>Percentage of</w:t>
            </w:r>
          </w:p>
        </w:tc>
        <w:tc>
          <w:tcPr>
            <w:tcW w:w="0" w:type="dxa"/>
            <w:vAlign w:val="bottom"/>
          </w:tcPr>
          <w:p>
            <w:pPr>
              <w:spacing w:after="0"/>
              <w:rPr>
                <w:sz w:val="1"/>
                <w:szCs w:val="1"/>
                <w:color w:val="auto"/>
              </w:rPr>
            </w:pPr>
          </w:p>
        </w:tc>
      </w:tr>
      <w:tr>
        <w:trPr>
          <w:trHeight w:val="216"/>
        </w:trPr>
        <w:tc>
          <w:tcPr>
            <w:tcW w:w="818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b w:val="1"/>
                <w:bCs w:val="1"/>
                <w:color w:val="231F20"/>
              </w:rPr>
              <w:t>Name and Address of Beneficial Owner</w:t>
            </w:r>
            <w:r>
              <w:rPr>
                <w:rFonts w:ascii="Times New Roman" w:cs="Times New Roman" w:eastAsia="Times New Roman" w:hAnsi="Times New Roman"/>
                <w:sz w:val="29"/>
                <w:szCs w:val="29"/>
                <w:b w:val="1"/>
                <w:bCs w:val="1"/>
                <w:color w:val="231F20"/>
                <w:vertAlign w:val="superscript"/>
              </w:rPr>
              <w:t>(1)</w:t>
            </w:r>
          </w:p>
        </w:tc>
        <w:tc>
          <w:tcPr>
            <w:tcW w:w="220" w:type="dxa"/>
            <w:vAlign w:val="bottom"/>
            <w:vMerge w:val="restart"/>
          </w:tcPr>
          <w:p>
            <w:pPr>
              <w:spacing w:after="0"/>
              <w:rPr>
                <w:sz w:val="18"/>
                <w:szCs w:val="18"/>
                <w:color w:val="auto"/>
              </w:rPr>
            </w:pPr>
          </w:p>
        </w:tc>
        <w:tc>
          <w:tcPr>
            <w:tcW w:w="144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231F20"/>
                <w:w w:val="99"/>
              </w:rPr>
              <w:t>Beneficially</w:t>
            </w:r>
          </w:p>
        </w:tc>
        <w:tc>
          <w:tcPr>
            <w:tcW w:w="1400" w:type="dxa"/>
            <w:vAlign w:val="bottom"/>
            <w:gridSpan w:val="2"/>
          </w:tcPr>
          <w:p>
            <w:pPr>
              <w:jc w:val="center"/>
              <w:ind w:right="160"/>
              <w:spacing w:after="0"/>
              <w:rPr>
                <w:sz w:val="20"/>
                <w:szCs w:val="20"/>
                <w:color w:val="auto"/>
              </w:rPr>
            </w:pPr>
            <w:r>
              <w:rPr>
                <w:rFonts w:ascii="Times New Roman" w:cs="Times New Roman" w:eastAsia="Times New Roman" w:hAnsi="Times New Roman"/>
                <w:sz w:val="18"/>
                <w:szCs w:val="18"/>
                <w:b w:val="1"/>
                <w:bCs w:val="1"/>
                <w:color w:val="231F20"/>
                <w:w w:val="99"/>
              </w:rPr>
              <w:t>Outstanding</w:t>
            </w:r>
          </w:p>
        </w:tc>
        <w:tc>
          <w:tcPr>
            <w:tcW w:w="0" w:type="dxa"/>
            <w:vAlign w:val="bottom"/>
          </w:tcPr>
          <w:p>
            <w:pPr>
              <w:spacing w:after="0"/>
              <w:rPr>
                <w:sz w:val="1"/>
                <w:szCs w:val="1"/>
                <w:color w:val="auto"/>
              </w:rPr>
            </w:pPr>
          </w:p>
        </w:tc>
      </w:tr>
      <w:tr>
        <w:trPr>
          <w:trHeight w:val="238"/>
        </w:trPr>
        <w:tc>
          <w:tcPr>
            <w:tcW w:w="8180" w:type="dxa"/>
            <w:vAlign w:val="bottom"/>
            <w:tcBorders>
              <w:bottom w:val="single" w:sz="8" w:color="auto"/>
            </w:tcBorders>
            <w:gridSpan w:val="2"/>
            <w:vMerge w:val="continue"/>
          </w:tcPr>
          <w:p>
            <w:pPr>
              <w:spacing w:after="0"/>
              <w:rPr>
                <w:sz w:val="20"/>
                <w:szCs w:val="20"/>
                <w:color w:val="auto"/>
              </w:rPr>
            </w:pPr>
          </w:p>
        </w:tc>
        <w:tc>
          <w:tcPr>
            <w:tcW w:w="220" w:type="dxa"/>
            <w:vAlign w:val="bottom"/>
            <w:tcBorders>
              <w:bottom w:val="single" w:sz="8" w:color="CCEEFF"/>
            </w:tcBorders>
            <w:vMerge w:val="continue"/>
          </w:tcPr>
          <w:p>
            <w:pPr>
              <w:spacing w:after="0"/>
              <w:rPr>
                <w:sz w:val="20"/>
                <w:szCs w:val="20"/>
                <w:color w:val="auto"/>
              </w:rPr>
            </w:pPr>
          </w:p>
        </w:tc>
        <w:tc>
          <w:tcPr>
            <w:tcW w:w="12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231F20"/>
              </w:rPr>
              <w:t>Owned</w:t>
            </w:r>
          </w:p>
        </w:tc>
        <w:tc>
          <w:tcPr>
            <w:tcW w:w="200" w:type="dxa"/>
            <w:vAlign w:val="bottom"/>
            <w:tcBorders>
              <w:bottom w:val="single" w:sz="8" w:color="CCEEFF"/>
            </w:tcBorders>
          </w:tcPr>
          <w:p>
            <w:pPr>
              <w:spacing w:after="0"/>
              <w:rPr>
                <w:sz w:val="20"/>
                <w:szCs w:val="20"/>
                <w:color w:val="auto"/>
              </w:rPr>
            </w:pPr>
          </w:p>
        </w:tc>
        <w:tc>
          <w:tcPr>
            <w:tcW w:w="12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231F20"/>
                <w:w w:val="99"/>
              </w:rPr>
              <w:t>Shares</w:t>
            </w:r>
          </w:p>
        </w:tc>
        <w:tc>
          <w:tcPr>
            <w:tcW w:w="160" w:type="dxa"/>
            <w:vAlign w:val="bottom"/>
            <w:tcBorders>
              <w:bottom w:val="single" w:sz="8" w:color="CCEEFF"/>
            </w:tcBorders>
          </w:tcPr>
          <w:p>
            <w:pPr>
              <w:spacing w:after="0"/>
              <w:rPr>
                <w:sz w:val="20"/>
                <w:szCs w:val="20"/>
                <w:color w:val="auto"/>
              </w:rPr>
            </w:pPr>
          </w:p>
        </w:tc>
        <w:tc>
          <w:tcPr>
            <w:tcW w:w="0" w:type="dxa"/>
            <w:vAlign w:val="bottom"/>
          </w:tcPr>
          <w:p>
            <w:pPr>
              <w:spacing w:after="0"/>
              <w:rPr>
                <w:sz w:val="1"/>
                <w:szCs w:val="1"/>
                <w:color w:val="auto"/>
              </w:rPr>
            </w:pPr>
          </w:p>
        </w:tc>
      </w:tr>
      <w:tr>
        <w:trPr>
          <w:trHeight w:val="250"/>
        </w:trPr>
        <w:tc>
          <w:tcPr>
            <w:tcW w:w="8180" w:type="dxa"/>
            <w:vAlign w:val="bottom"/>
            <w:gridSpan w:val="2"/>
            <w:shd w:val="clear" w:color="auto" w:fill="CCEEFF"/>
          </w:tcPr>
          <w:p>
            <w:pPr>
              <w:spacing w:after="0" w:line="250" w:lineRule="exact"/>
              <w:rPr>
                <w:sz w:val="20"/>
                <w:szCs w:val="20"/>
                <w:color w:val="auto"/>
              </w:rPr>
            </w:pPr>
            <w:r>
              <w:rPr>
                <w:rFonts w:ascii="Times New Roman" w:cs="Times New Roman" w:eastAsia="Times New Roman" w:hAnsi="Times New Roman"/>
                <w:sz w:val="17"/>
                <w:szCs w:val="17"/>
                <w:color w:val="auto"/>
              </w:rPr>
              <w:t xml:space="preserve">Shahal Khan </w:t>
            </w:r>
            <w:r>
              <w:rPr>
                <w:rFonts w:ascii="Times New Roman" w:cs="Times New Roman" w:eastAsia="Times New Roman" w:hAnsi="Times New Roman"/>
                <w:sz w:val="28"/>
                <w:szCs w:val="28"/>
                <w:color w:val="auto"/>
                <w:vertAlign w:val="superscript"/>
              </w:rPr>
              <w:t>(2)</w:t>
            </w:r>
          </w:p>
        </w:tc>
        <w:tc>
          <w:tcPr>
            <w:tcW w:w="220" w:type="dxa"/>
            <w:vAlign w:val="bottom"/>
            <w:shd w:val="clear" w:color="auto" w:fill="CCEEFF"/>
          </w:tcPr>
          <w:p>
            <w:pPr>
              <w:spacing w:after="0"/>
              <w:rPr>
                <w:sz w:val="21"/>
                <w:szCs w:val="21"/>
                <w:color w:val="auto"/>
              </w:rPr>
            </w:pPr>
          </w:p>
        </w:tc>
        <w:tc>
          <w:tcPr>
            <w:tcW w:w="14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231F20"/>
              </w:rPr>
              <w:t>10,385,750</w:t>
            </w:r>
          </w:p>
        </w:tc>
        <w:tc>
          <w:tcPr>
            <w:tcW w:w="14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231F20"/>
              </w:rPr>
              <w:t>26.6%</w:t>
            </w:r>
          </w:p>
        </w:tc>
        <w:tc>
          <w:tcPr>
            <w:tcW w:w="0" w:type="dxa"/>
            <w:vAlign w:val="bottom"/>
          </w:tcPr>
          <w:p>
            <w:pPr>
              <w:spacing w:after="0"/>
              <w:rPr>
                <w:sz w:val="1"/>
                <w:szCs w:val="1"/>
                <w:color w:val="auto"/>
              </w:rPr>
            </w:pPr>
          </w:p>
        </w:tc>
      </w:tr>
      <w:tr>
        <w:trPr>
          <w:trHeight w:val="256"/>
        </w:trPr>
        <w:tc>
          <w:tcPr>
            <w:tcW w:w="8400" w:type="dxa"/>
            <w:vAlign w:val="bottom"/>
            <w:gridSpan w:val="3"/>
          </w:tcPr>
          <w:p>
            <w:pPr>
              <w:spacing w:after="0" w:line="256" w:lineRule="exact"/>
              <w:rPr>
                <w:sz w:val="20"/>
                <w:szCs w:val="20"/>
                <w:color w:val="auto"/>
              </w:rPr>
            </w:pPr>
            <w:r>
              <w:rPr>
                <w:rFonts w:ascii="Times New Roman" w:cs="Times New Roman" w:eastAsia="Times New Roman" w:hAnsi="Times New Roman"/>
                <w:sz w:val="18"/>
                <w:szCs w:val="18"/>
                <w:color w:val="231F20"/>
              </w:rPr>
              <w:t xml:space="preserve">Roman Livson </w:t>
            </w:r>
            <w:r>
              <w:rPr>
                <w:rFonts w:ascii="Times New Roman" w:cs="Times New Roman" w:eastAsia="Times New Roman" w:hAnsi="Times New Roman"/>
                <w:sz w:val="29"/>
                <w:szCs w:val="29"/>
                <w:color w:val="231F20"/>
                <w:vertAlign w:val="superscript"/>
              </w:rPr>
              <w:t>(2)</w:t>
            </w:r>
          </w:p>
        </w:tc>
        <w:tc>
          <w:tcPr>
            <w:tcW w:w="14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231F20"/>
              </w:rPr>
              <w:t>10,385,750</w:t>
            </w:r>
          </w:p>
        </w:tc>
        <w:tc>
          <w:tcPr>
            <w:tcW w:w="14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231F20"/>
              </w:rPr>
              <w:t>26.6%</w:t>
            </w:r>
          </w:p>
        </w:tc>
        <w:tc>
          <w:tcPr>
            <w:tcW w:w="0" w:type="dxa"/>
            <w:vAlign w:val="bottom"/>
          </w:tcPr>
          <w:p>
            <w:pPr>
              <w:spacing w:after="0"/>
              <w:rPr>
                <w:sz w:val="1"/>
                <w:szCs w:val="1"/>
                <w:color w:val="auto"/>
              </w:rPr>
            </w:pPr>
          </w:p>
        </w:tc>
      </w:tr>
      <w:tr>
        <w:trPr>
          <w:trHeight w:val="257"/>
        </w:trPr>
        <w:tc>
          <w:tcPr>
            <w:tcW w:w="8400" w:type="dxa"/>
            <w:vAlign w:val="bottom"/>
            <w:gridSpan w:val="3"/>
            <w:shd w:val="clear" w:color="auto" w:fill="CCEEFF"/>
          </w:tcPr>
          <w:p>
            <w:pPr>
              <w:spacing w:after="0" w:line="256" w:lineRule="exact"/>
              <w:rPr>
                <w:sz w:val="20"/>
                <w:szCs w:val="20"/>
                <w:color w:val="auto"/>
              </w:rPr>
            </w:pPr>
            <w:r>
              <w:rPr>
                <w:rFonts w:ascii="Times New Roman" w:cs="Times New Roman" w:eastAsia="Times New Roman" w:hAnsi="Times New Roman"/>
                <w:sz w:val="18"/>
                <w:szCs w:val="18"/>
                <w:color w:val="231F20"/>
              </w:rPr>
              <w:t>Patrick Orlando</w:t>
            </w:r>
            <w:r>
              <w:rPr>
                <w:rFonts w:ascii="Times New Roman" w:cs="Times New Roman" w:eastAsia="Times New Roman" w:hAnsi="Times New Roman"/>
                <w:sz w:val="29"/>
                <w:szCs w:val="29"/>
                <w:color w:val="231F20"/>
                <w:vertAlign w:val="superscript"/>
              </w:rPr>
              <w:t>(1)(2)</w:t>
            </w:r>
          </w:p>
        </w:tc>
        <w:tc>
          <w:tcPr>
            <w:tcW w:w="14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231F20"/>
              </w:rPr>
              <w:t>10,385,750</w:t>
            </w:r>
          </w:p>
        </w:tc>
        <w:tc>
          <w:tcPr>
            <w:tcW w:w="14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231F20"/>
              </w:rPr>
              <w:t>26.6%</w:t>
            </w:r>
          </w:p>
        </w:tc>
        <w:tc>
          <w:tcPr>
            <w:tcW w:w="0" w:type="dxa"/>
            <w:vAlign w:val="bottom"/>
          </w:tcPr>
          <w:p>
            <w:pPr>
              <w:spacing w:after="0"/>
              <w:rPr>
                <w:sz w:val="1"/>
                <w:szCs w:val="1"/>
                <w:color w:val="auto"/>
              </w:rPr>
            </w:pPr>
          </w:p>
        </w:tc>
      </w:tr>
      <w:tr>
        <w:trPr>
          <w:trHeight w:val="257"/>
        </w:trPr>
        <w:tc>
          <w:tcPr>
            <w:tcW w:w="8400" w:type="dxa"/>
            <w:vAlign w:val="bottom"/>
            <w:gridSpan w:val="3"/>
          </w:tcPr>
          <w:p>
            <w:pPr>
              <w:spacing w:after="0" w:line="256" w:lineRule="exact"/>
              <w:rPr>
                <w:sz w:val="20"/>
                <w:szCs w:val="20"/>
                <w:color w:val="auto"/>
              </w:rPr>
            </w:pPr>
            <w:r>
              <w:rPr>
                <w:rFonts w:ascii="Times New Roman" w:cs="Times New Roman" w:eastAsia="Times New Roman" w:hAnsi="Times New Roman"/>
                <w:sz w:val="18"/>
                <w:szCs w:val="18"/>
                <w:color w:val="231F20"/>
              </w:rPr>
              <w:t xml:space="preserve">Isaac Chetrit </w:t>
            </w:r>
            <w:r>
              <w:rPr>
                <w:rFonts w:ascii="Times New Roman" w:cs="Times New Roman" w:eastAsia="Times New Roman" w:hAnsi="Times New Roman"/>
                <w:sz w:val="29"/>
                <w:szCs w:val="29"/>
                <w:color w:val="231F20"/>
                <w:vertAlign w:val="superscript"/>
              </w:rPr>
              <w:t>(3)</w:t>
            </w:r>
          </w:p>
        </w:tc>
        <w:tc>
          <w:tcPr>
            <w:tcW w:w="124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4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231F20"/>
              </w:rPr>
              <w:t>*</w:t>
            </w:r>
          </w:p>
        </w:tc>
        <w:tc>
          <w:tcPr>
            <w:tcW w:w="0" w:type="dxa"/>
            <w:vAlign w:val="bottom"/>
          </w:tcPr>
          <w:p>
            <w:pPr>
              <w:spacing w:after="0"/>
              <w:rPr>
                <w:sz w:val="1"/>
                <w:szCs w:val="1"/>
                <w:color w:val="auto"/>
              </w:rPr>
            </w:pPr>
          </w:p>
        </w:tc>
      </w:tr>
      <w:tr>
        <w:trPr>
          <w:trHeight w:val="257"/>
        </w:trPr>
        <w:tc>
          <w:tcPr>
            <w:tcW w:w="8400" w:type="dxa"/>
            <w:vAlign w:val="bottom"/>
            <w:gridSpan w:val="3"/>
            <w:shd w:val="clear" w:color="auto" w:fill="CCEEFF"/>
          </w:tcPr>
          <w:p>
            <w:pPr>
              <w:spacing w:after="0" w:line="256" w:lineRule="exact"/>
              <w:rPr>
                <w:sz w:val="20"/>
                <w:szCs w:val="20"/>
                <w:color w:val="auto"/>
              </w:rPr>
            </w:pPr>
            <w:r>
              <w:rPr>
                <w:rFonts w:ascii="Times New Roman" w:cs="Times New Roman" w:eastAsia="Times New Roman" w:hAnsi="Times New Roman"/>
                <w:sz w:val="18"/>
                <w:szCs w:val="18"/>
                <w:color w:val="231F20"/>
              </w:rPr>
              <w:t xml:space="preserve">Payel Farasat </w:t>
            </w:r>
            <w:r>
              <w:rPr>
                <w:rFonts w:ascii="Times New Roman" w:cs="Times New Roman" w:eastAsia="Times New Roman" w:hAnsi="Times New Roman"/>
                <w:sz w:val="29"/>
                <w:szCs w:val="29"/>
                <w:color w:val="231F20"/>
                <w:vertAlign w:val="superscript"/>
              </w:rPr>
              <w:t>(3)</w:t>
            </w:r>
          </w:p>
        </w:tc>
        <w:tc>
          <w:tcPr>
            <w:tcW w:w="124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14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231F20"/>
              </w:rPr>
              <w:t>*</w:t>
            </w:r>
          </w:p>
        </w:tc>
        <w:tc>
          <w:tcPr>
            <w:tcW w:w="0" w:type="dxa"/>
            <w:vAlign w:val="bottom"/>
          </w:tcPr>
          <w:p>
            <w:pPr>
              <w:spacing w:after="0"/>
              <w:rPr>
                <w:sz w:val="1"/>
                <w:szCs w:val="1"/>
                <w:color w:val="auto"/>
              </w:rPr>
            </w:pPr>
          </w:p>
        </w:tc>
      </w:tr>
      <w:tr>
        <w:trPr>
          <w:trHeight w:val="256"/>
        </w:trPr>
        <w:tc>
          <w:tcPr>
            <w:tcW w:w="8400" w:type="dxa"/>
            <w:vAlign w:val="bottom"/>
            <w:gridSpan w:val="3"/>
          </w:tcPr>
          <w:p>
            <w:pPr>
              <w:spacing w:after="0" w:line="256" w:lineRule="exact"/>
              <w:rPr>
                <w:sz w:val="20"/>
                <w:szCs w:val="20"/>
                <w:color w:val="auto"/>
              </w:rPr>
            </w:pPr>
            <w:r>
              <w:rPr>
                <w:rFonts w:ascii="Times New Roman" w:cs="Times New Roman" w:eastAsia="Times New Roman" w:hAnsi="Times New Roman"/>
                <w:sz w:val="18"/>
                <w:szCs w:val="18"/>
                <w:color w:val="231F20"/>
              </w:rPr>
              <w:t xml:space="preserve">Christopher Schroeder </w:t>
            </w:r>
            <w:r>
              <w:rPr>
                <w:rFonts w:ascii="Times New Roman" w:cs="Times New Roman" w:eastAsia="Times New Roman" w:hAnsi="Times New Roman"/>
                <w:sz w:val="29"/>
                <w:szCs w:val="29"/>
                <w:color w:val="231F20"/>
                <w:vertAlign w:val="superscript"/>
              </w:rPr>
              <w:t>(3)</w:t>
            </w:r>
          </w:p>
        </w:tc>
        <w:tc>
          <w:tcPr>
            <w:tcW w:w="124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4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231F20"/>
              </w:rPr>
              <w:t>*</w:t>
            </w:r>
          </w:p>
        </w:tc>
        <w:tc>
          <w:tcPr>
            <w:tcW w:w="0" w:type="dxa"/>
            <w:vAlign w:val="bottom"/>
          </w:tcPr>
          <w:p>
            <w:pPr>
              <w:spacing w:after="0"/>
              <w:rPr>
                <w:sz w:val="1"/>
                <w:szCs w:val="1"/>
                <w:color w:val="auto"/>
              </w:rPr>
            </w:pPr>
          </w:p>
        </w:tc>
      </w:tr>
      <w:tr>
        <w:trPr>
          <w:trHeight w:val="216"/>
        </w:trPr>
        <w:tc>
          <w:tcPr>
            <w:tcW w:w="840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i w:val="1"/>
                <w:iCs w:val="1"/>
                <w:color w:val="231F20"/>
              </w:rPr>
              <w:t>All officers and directors as a group</w:t>
            </w:r>
          </w:p>
        </w:tc>
        <w:tc>
          <w:tcPr>
            <w:tcW w:w="14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231F20"/>
              </w:rPr>
              <w:t>10,385,750</w:t>
            </w:r>
          </w:p>
        </w:tc>
        <w:tc>
          <w:tcPr>
            <w:tcW w:w="14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231F20"/>
              </w:rPr>
              <w:t>26.6%</w:t>
            </w:r>
          </w:p>
        </w:tc>
        <w:tc>
          <w:tcPr>
            <w:tcW w:w="0" w:type="dxa"/>
            <w:vAlign w:val="bottom"/>
          </w:tcPr>
          <w:p>
            <w:pPr>
              <w:spacing w:after="0"/>
              <w:rPr>
                <w:sz w:val="1"/>
                <w:szCs w:val="1"/>
                <w:color w:val="auto"/>
              </w:rPr>
            </w:pPr>
          </w:p>
        </w:tc>
      </w:tr>
      <w:tr>
        <w:trPr>
          <w:trHeight w:val="216"/>
        </w:trPr>
        <w:tc>
          <w:tcPr>
            <w:tcW w:w="8400" w:type="dxa"/>
            <w:vAlign w:val="bottom"/>
            <w:gridSpan w:val="3"/>
          </w:tcPr>
          <w:p>
            <w:pPr>
              <w:spacing w:after="0"/>
              <w:rPr>
                <w:sz w:val="20"/>
                <w:szCs w:val="20"/>
                <w:color w:val="auto"/>
              </w:rPr>
            </w:pPr>
            <w:r>
              <w:rPr>
                <w:rFonts w:ascii="Times New Roman" w:cs="Times New Roman" w:eastAsia="Times New Roman" w:hAnsi="Times New Roman"/>
                <w:sz w:val="18"/>
                <w:szCs w:val="18"/>
                <w:i w:val="1"/>
                <w:iCs w:val="1"/>
                <w:color w:val="auto"/>
              </w:rPr>
              <w:t>(5 individuals)</w:t>
            </w:r>
          </w:p>
        </w:tc>
        <w:tc>
          <w:tcPr>
            <w:tcW w:w="1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8400" w:type="dxa"/>
            <w:vAlign w:val="bottom"/>
            <w:gridSpan w:val="3"/>
            <w:shd w:val="clear" w:color="auto" w:fill="CCEEFF"/>
          </w:tcPr>
          <w:p>
            <w:pPr>
              <w:spacing w:after="0" w:line="256" w:lineRule="exact"/>
              <w:rPr>
                <w:sz w:val="20"/>
                <w:szCs w:val="20"/>
                <w:color w:val="auto"/>
              </w:rPr>
            </w:pPr>
            <w:r>
              <w:rPr>
                <w:rFonts w:ascii="Times New Roman" w:cs="Times New Roman" w:eastAsia="Times New Roman" w:hAnsi="Times New Roman"/>
                <w:sz w:val="18"/>
                <w:szCs w:val="18"/>
                <w:color w:val="auto"/>
              </w:rPr>
              <w:t>BurTech LP LLC</w:t>
            </w:r>
            <w:r>
              <w:rPr>
                <w:rFonts w:ascii="Times New Roman" w:cs="Times New Roman" w:eastAsia="Times New Roman" w:hAnsi="Times New Roman"/>
                <w:sz w:val="29"/>
                <w:szCs w:val="29"/>
                <w:color w:val="auto"/>
                <w:vertAlign w:val="superscript"/>
              </w:rPr>
              <w:t>(2)</w:t>
            </w:r>
          </w:p>
        </w:tc>
        <w:tc>
          <w:tcPr>
            <w:tcW w:w="14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231F20"/>
              </w:rPr>
              <w:t>10,385,750</w:t>
            </w:r>
          </w:p>
        </w:tc>
        <w:tc>
          <w:tcPr>
            <w:tcW w:w="14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231F20"/>
              </w:rPr>
              <w:t>26.6%</w:t>
            </w:r>
          </w:p>
        </w:tc>
        <w:tc>
          <w:tcPr>
            <w:tcW w:w="0" w:type="dxa"/>
            <w:vAlign w:val="bottom"/>
          </w:tcPr>
          <w:p>
            <w:pPr>
              <w:spacing w:after="0"/>
              <w:rPr>
                <w:sz w:val="1"/>
                <w:szCs w:val="1"/>
                <w:color w:val="auto"/>
              </w:rPr>
            </w:pPr>
          </w:p>
        </w:tc>
      </w:tr>
      <w:tr>
        <w:trPr>
          <w:trHeight w:val="391"/>
        </w:trPr>
        <w:tc>
          <w:tcPr>
            <w:tcW w:w="840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i w:val="1"/>
                <w:iCs w:val="1"/>
                <w:color w:val="auto"/>
              </w:rPr>
              <w:t>Holders of 5% of more of our Common Stock</w:t>
            </w:r>
          </w:p>
        </w:tc>
        <w:tc>
          <w:tcPr>
            <w:tcW w:w="1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
        </w:trPr>
        <w:tc>
          <w:tcPr>
            <w:tcW w:w="3380" w:type="dxa"/>
            <w:vAlign w:val="bottom"/>
            <w:tcBorders>
              <w:top w:val="single" w:sz="8" w:color="auto"/>
            </w:tcBorders>
          </w:tcPr>
          <w:p>
            <w:pPr>
              <w:spacing w:after="0"/>
              <w:rPr>
                <w:sz w:val="2"/>
                <w:szCs w:val="2"/>
                <w:color w:val="auto"/>
              </w:rPr>
            </w:pPr>
          </w:p>
        </w:tc>
        <w:tc>
          <w:tcPr>
            <w:tcW w:w="48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7"/>
        </w:trPr>
        <w:tc>
          <w:tcPr>
            <w:tcW w:w="8400" w:type="dxa"/>
            <w:vAlign w:val="bottom"/>
            <w:gridSpan w:val="3"/>
            <w:shd w:val="clear" w:color="auto" w:fill="CCEEFF"/>
          </w:tcPr>
          <w:p>
            <w:pPr>
              <w:spacing w:after="0" w:line="256" w:lineRule="exact"/>
              <w:rPr>
                <w:sz w:val="20"/>
                <w:szCs w:val="20"/>
                <w:color w:val="auto"/>
              </w:rPr>
            </w:pPr>
            <w:r>
              <w:rPr>
                <w:rFonts w:ascii="Times New Roman" w:cs="Times New Roman" w:eastAsia="Times New Roman" w:hAnsi="Times New Roman"/>
                <w:sz w:val="18"/>
                <w:szCs w:val="18"/>
                <w:color w:val="auto"/>
              </w:rPr>
              <w:t xml:space="preserve">BurTech LP, LLC </w:t>
            </w:r>
            <w:r>
              <w:rPr>
                <w:rFonts w:ascii="Times New Roman" w:cs="Times New Roman" w:eastAsia="Times New Roman" w:hAnsi="Times New Roman"/>
                <w:sz w:val="29"/>
                <w:szCs w:val="29"/>
                <w:color w:val="auto"/>
                <w:vertAlign w:val="superscript"/>
              </w:rPr>
              <w:t>(2)</w:t>
            </w:r>
          </w:p>
        </w:tc>
        <w:tc>
          <w:tcPr>
            <w:tcW w:w="14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10,385,750</w:t>
            </w:r>
          </w:p>
        </w:tc>
        <w:tc>
          <w:tcPr>
            <w:tcW w:w="14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26.6%</w:t>
            </w:r>
          </w:p>
        </w:tc>
        <w:tc>
          <w:tcPr>
            <w:tcW w:w="0" w:type="dxa"/>
            <w:vAlign w:val="bottom"/>
          </w:tcPr>
          <w:p>
            <w:pPr>
              <w:spacing w:after="0"/>
              <w:rPr>
                <w:sz w:val="1"/>
                <w:szCs w:val="1"/>
                <w:color w:val="auto"/>
              </w:rPr>
            </w:pPr>
          </w:p>
        </w:tc>
      </w:tr>
      <w:tr>
        <w:trPr>
          <w:trHeight w:val="394"/>
        </w:trPr>
        <w:tc>
          <w:tcPr>
            <w:tcW w:w="84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 xml:space="preserve">Saba Capital Management, L.P. </w:t>
            </w:r>
            <w:r>
              <w:rPr>
                <w:rFonts w:ascii="Times New Roman" w:cs="Times New Roman" w:eastAsia="Times New Roman" w:hAnsi="Times New Roman"/>
                <w:sz w:val="29"/>
                <w:szCs w:val="29"/>
                <w:color w:val="auto"/>
                <w:vertAlign w:val="superscript"/>
              </w:rPr>
              <w:t>(4)</w:t>
            </w:r>
          </w:p>
        </w:tc>
        <w:tc>
          <w:tcPr>
            <w:tcW w:w="14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1,677,700</w:t>
            </w:r>
          </w:p>
        </w:tc>
        <w:tc>
          <w:tcPr>
            <w:tcW w:w="14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5.6%</w:t>
            </w:r>
          </w:p>
        </w:tc>
        <w:tc>
          <w:tcPr>
            <w:tcW w:w="0" w:type="dxa"/>
            <w:vAlign w:val="bottom"/>
          </w:tcPr>
          <w:p>
            <w:pPr>
              <w:spacing w:after="0"/>
              <w:rPr>
                <w:sz w:val="1"/>
                <w:szCs w:val="1"/>
                <w:color w:val="auto"/>
              </w:rPr>
            </w:pPr>
          </w:p>
        </w:tc>
      </w:tr>
    </w:tbl>
    <w:p>
      <w:pPr>
        <w:spacing w:after="0" w:line="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Less than 1%.</w:t>
      </w:r>
    </w:p>
    <w:p>
      <w:pPr>
        <w:spacing w:after="0" w:line="225" w:lineRule="exact"/>
        <w:rPr>
          <w:sz w:val="20"/>
          <w:szCs w:val="20"/>
          <w:color w:val="auto"/>
        </w:rPr>
      </w:pPr>
    </w:p>
    <w:p>
      <w:pPr>
        <w:ind w:left="340" w:right="20" w:hanging="332"/>
        <w:spacing w:after="0" w:line="282" w:lineRule="auto"/>
        <w:tabs>
          <w:tab w:leader="none" w:pos="340" w:val="left"/>
        </w:tabs>
        <w:numPr>
          <w:ilvl w:val="0"/>
          <w:numId w:val="68"/>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Unless otherwise noted, the business address of each of these individuals is c/o BurTech Acquisition Corp., 1300 Pennsylvania Ave NW, Suite 700, Washington, DC 20004.</w:t>
      </w:r>
    </w:p>
    <w:p>
      <w:pPr>
        <w:spacing w:after="0" w:line="161" w:lineRule="exact"/>
        <w:rPr>
          <w:rFonts w:ascii="Times New Roman" w:cs="Times New Roman" w:eastAsia="Times New Roman" w:hAnsi="Times New Roman"/>
          <w:sz w:val="18"/>
          <w:szCs w:val="18"/>
          <w:color w:val="231F20"/>
        </w:rPr>
      </w:pPr>
    </w:p>
    <w:p>
      <w:pPr>
        <w:jc w:val="both"/>
        <w:ind w:left="380" w:hanging="318"/>
        <w:spacing w:after="0" w:line="261" w:lineRule="auto"/>
        <w:tabs>
          <w:tab w:leader="none" w:pos="380" w:val="left"/>
        </w:tabs>
        <w:numPr>
          <w:ilvl w:val="1"/>
          <w:numId w:val="68"/>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auto"/>
        </w:rPr>
        <w:t>BurTech LP LLC, our sponsor, is the record holder of the securities reported herein. Shahal Khan, Patrick Orlando and Roman Livson are the managing members of our sponsor. By virtue of this relationship, Messrs. Khan and Livson may be deemed to share beneficial ownership of the securities held of record by our sponsor. Messrs. Khan and Livson disclaim any beneficial ownership except to the extent of their pecuniary interest in such securities.</w:t>
      </w:r>
    </w:p>
    <w:p>
      <w:pPr>
        <w:spacing w:after="0" w:line="179" w:lineRule="exact"/>
        <w:rPr>
          <w:rFonts w:ascii="Times New Roman" w:cs="Times New Roman" w:eastAsia="Times New Roman" w:hAnsi="Times New Roman"/>
          <w:sz w:val="18"/>
          <w:szCs w:val="18"/>
          <w:color w:val="231F20"/>
        </w:rPr>
      </w:pPr>
    </w:p>
    <w:p>
      <w:pPr>
        <w:ind w:left="380" w:hanging="318"/>
        <w:spacing w:after="0" w:line="282" w:lineRule="auto"/>
        <w:tabs>
          <w:tab w:leader="none" w:pos="380" w:val="left"/>
        </w:tabs>
        <w:numPr>
          <w:ilvl w:val="1"/>
          <w:numId w:val="68"/>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Each of our officers and directors is, directly or indirectly, a member of our sponsor or has direct or indirect economic interests in our sponsor, and each of them disclaims any beneficial ownership of any shares held by our sponsor except to the extent of his or her ultimate pecuniary interest.</w:t>
      </w:r>
    </w:p>
    <w:p>
      <w:pPr>
        <w:spacing w:after="0" w:line="161" w:lineRule="exact"/>
        <w:rPr>
          <w:rFonts w:ascii="Times New Roman" w:cs="Times New Roman" w:eastAsia="Times New Roman" w:hAnsi="Times New Roman"/>
          <w:sz w:val="18"/>
          <w:szCs w:val="18"/>
          <w:color w:val="231F20"/>
        </w:rPr>
      </w:pPr>
    </w:p>
    <w:p>
      <w:pPr>
        <w:jc w:val="both"/>
        <w:ind w:left="380" w:hanging="318"/>
        <w:spacing w:after="0" w:line="266" w:lineRule="auto"/>
        <w:tabs>
          <w:tab w:leader="none" w:pos="380" w:val="left"/>
        </w:tabs>
        <w:numPr>
          <w:ilvl w:val="1"/>
          <w:numId w:val="68"/>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auto"/>
        </w:rPr>
        <w:t>Saba Capital Management, L.P., a Delaware limited partnership ("Saba Capital"), Saba Capital Management GP, LLC, a Delaware limited liability company ("Saba GP"), and Mr. Boaz R. Weinstein are together, the "Reporting Persons" in accordance with the provisions of Rule 13d-1(k)(1) under the 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414655</wp:posOffset>
            </wp:positionV>
            <wp:extent cx="7132320" cy="88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31" w:name="page32"/>
    <w:bookmarkEnd w:id="31"/>
    <w:p>
      <w:pPr>
        <w:jc w:val="center"/>
        <w:spacing w:after="0"/>
        <w:rPr>
          <w:sz w:val="20"/>
          <w:szCs w:val="20"/>
          <w:color w:val="auto"/>
        </w:rPr>
      </w:pPr>
      <w:r>
        <w:rPr>
          <w:rFonts w:ascii="Times New Roman" w:cs="Times New Roman" w:eastAsia="Times New Roman" w:hAnsi="Times New Roman"/>
          <w:sz w:val="18"/>
          <w:szCs w:val="18"/>
          <w:b w:val="1"/>
          <w:bCs w:val="1"/>
          <w:color w:val="auto"/>
        </w:rPr>
        <w:t>PROPOSAL 1: THE CHARTER AMENDMENT PROPOSAL</w:t>
      </w:r>
    </w:p>
    <w:p>
      <w:pPr>
        <w:spacing w:after="0" w:line="225"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18"/>
          <w:szCs w:val="18"/>
          <w:color w:val="auto"/>
        </w:rPr>
        <w:t>This is a proposal to amend BurTech’s second amended and restated certificate of incorporation (the “</w:t>
      </w:r>
      <w:r>
        <w:rPr>
          <w:rFonts w:ascii="Times New Roman" w:cs="Times New Roman" w:eastAsia="Times New Roman" w:hAnsi="Times New Roman"/>
          <w:sz w:val="18"/>
          <w:szCs w:val="18"/>
          <w:b w:val="1"/>
          <w:bCs w:val="1"/>
          <w:u w:val="single" w:color="auto"/>
          <w:color w:val="auto"/>
        </w:rPr>
        <w:t>Charter</w:t>
      </w:r>
      <w:r>
        <w:rPr>
          <w:rFonts w:ascii="Times New Roman" w:cs="Times New Roman" w:eastAsia="Times New Roman" w:hAnsi="Times New Roman"/>
          <w:sz w:val="18"/>
          <w:szCs w:val="18"/>
          <w:color w:val="auto"/>
        </w:rPr>
        <w:t>”), to extend the date by which BurTech has to consummate a business combination (the “</w:t>
      </w:r>
      <w:r>
        <w:rPr>
          <w:rFonts w:ascii="Times New Roman" w:cs="Times New Roman" w:eastAsia="Times New Roman" w:hAnsi="Times New Roman"/>
          <w:sz w:val="18"/>
          <w:szCs w:val="18"/>
          <w:b w:val="1"/>
          <w:bCs w:val="1"/>
          <w:u w:val="single" w:color="auto"/>
          <w:color w:val="auto"/>
        </w:rPr>
        <w:t>Extension</w:t>
      </w:r>
      <w:r>
        <w:rPr>
          <w:rFonts w:ascii="Times New Roman" w:cs="Times New Roman" w:eastAsia="Times New Roman" w:hAnsi="Times New Roman"/>
          <w:sz w:val="18"/>
          <w:szCs w:val="18"/>
          <w:color w:val="auto"/>
        </w:rPr>
        <w:t>”) from March 15, 2023 to September 15, 2023 (the latest such date actually extended being referred to as the “</w:t>
      </w:r>
      <w:r>
        <w:rPr>
          <w:rFonts w:ascii="Times New Roman" w:cs="Times New Roman" w:eastAsia="Times New Roman" w:hAnsi="Times New Roman"/>
          <w:sz w:val="18"/>
          <w:szCs w:val="18"/>
          <w:b w:val="1"/>
          <w:bCs w:val="1"/>
          <w:u w:val="single" w:color="auto"/>
          <w:color w:val="auto"/>
        </w:rPr>
        <w:t>Extended Termination Date</w:t>
      </w:r>
      <w:r>
        <w:rPr>
          <w:rFonts w:ascii="Times New Roman" w:cs="Times New Roman" w:eastAsia="Times New Roman" w:hAnsi="Times New Roman"/>
          <w:sz w:val="18"/>
          <w:szCs w:val="18"/>
          <w:color w:val="auto"/>
        </w:rPr>
        <w:t>”) (the “</w:t>
      </w:r>
      <w:r>
        <w:rPr>
          <w:rFonts w:ascii="Times New Roman" w:cs="Times New Roman" w:eastAsia="Times New Roman" w:hAnsi="Times New Roman"/>
          <w:sz w:val="18"/>
          <w:szCs w:val="18"/>
          <w:b w:val="1"/>
          <w:bCs w:val="1"/>
          <w:u w:val="single" w:color="auto"/>
          <w:color w:val="auto"/>
        </w:rPr>
        <w:t>Charter Amendment Proposal</w:t>
      </w:r>
      <w:r>
        <w:rPr>
          <w:rFonts w:ascii="Times New Roman" w:cs="Times New Roman" w:eastAsia="Times New Roman" w:hAnsi="Times New Roman"/>
          <w:sz w:val="18"/>
          <w:szCs w:val="18"/>
          <w:color w:val="auto"/>
        </w:rPr>
        <w:t>”).</w:t>
      </w:r>
    </w:p>
    <w:p>
      <w:pPr>
        <w:spacing w:after="0" w:line="175"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 xml:space="preserve">All stockholders are encouraged to read the proposed Charter Amendment Proposal in its entirety for a more complete description of its terms. A copy of the proposed Charter Amendment Proposal is attached hereto as </w:t>
      </w:r>
      <w:r>
        <w:rPr>
          <w:rFonts w:ascii="Times New Roman" w:cs="Times New Roman" w:eastAsia="Times New Roman" w:hAnsi="Times New Roman"/>
          <w:sz w:val="18"/>
          <w:szCs w:val="18"/>
          <w:u w:val="single" w:color="auto"/>
          <w:color w:val="auto"/>
        </w:rPr>
        <w:t>Annex A</w:t>
      </w:r>
      <w:r>
        <w:rPr>
          <w:rFonts w:ascii="Times New Roman" w:cs="Times New Roman" w:eastAsia="Times New Roman" w:hAnsi="Times New Roman"/>
          <w:sz w:val="18"/>
          <w:szCs w:val="18"/>
          <w:color w:val="auto"/>
        </w:rPr>
        <w:t>.</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Reasons for the Proposed Charter Amendment Proposal</w:t>
      </w:r>
    </w:p>
    <w:p>
      <w:pPr>
        <w:spacing w:after="0" w:line="229"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The purpose of the Charter Amendment Proposal is to allow BurTech more time to complete its initial business combination. BurTech’s Charter provides that BurTech has only until March 15, 2023 to complete a business combination.</w:t>
      </w:r>
    </w:p>
    <w:p>
      <w:pPr>
        <w:spacing w:after="0" w:line="15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Failure to Timely Complete a Business Combination</w:t>
      </w:r>
    </w:p>
    <w:p>
      <w:pPr>
        <w:spacing w:after="0" w:line="225"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18"/>
          <w:szCs w:val="18"/>
          <w:color w:val="auto"/>
        </w:rPr>
        <w:t>As disclosed in the Company’s prospectus dated December 09, 2021 in connection with its initial public offering (the “</w:t>
      </w:r>
      <w:r>
        <w:rPr>
          <w:rFonts w:ascii="Times New Roman" w:cs="Times New Roman" w:eastAsia="Times New Roman" w:hAnsi="Times New Roman"/>
          <w:sz w:val="18"/>
          <w:szCs w:val="18"/>
          <w:b w:val="1"/>
          <w:bCs w:val="1"/>
          <w:u w:val="single" w:color="auto"/>
          <w:color w:val="auto"/>
        </w:rPr>
        <w:t>IPO</w:t>
      </w:r>
      <w:r>
        <w:rPr>
          <w:rFonts w:ascii="Times New Roman" w:cs="Times New Roman" w:eastAsia="Times New Roman" w:hAnsi="Times New Roman"/>
          <w:sz w:val="18"/>
          <w:szCs w:val="18"/>
          <w:color w:val="auto"/>
        </w:rPr>
        <w:t>”), pursuant to the Trust Agreement, and the Company’s Charter, if BurTech does not complete its initial Business Combination within 15 months from the closing of the IPO, or March 15, 2023, BurTech would cease all operations except for the purpose of winding up the Company.</w:t>
      </w:r>
    </w:p>
    <w:p>
      <w:pPr>
        <w:spacing w:after="0" w:line="175" w:lineRule="exact"/>
        <w:rPr>
          <w:sz w:val="20"/>
          <w:szCs w:val="20"/>
          <w:color w:val="auto"/>
        </w:rPr>
      </w:pPr>
    </w:p>
    <w:p>
      <w:pPr>
        <w:jc w:val="both"/>
        <w:ind w:firstLine="432"/>
        <w:spacing w:after="0" w:line="256" w:lineRule="auto"/>
        <w:rPr>
          <w:sz w:val="20"/>
          <w:szCs w:val="20"/>
          <w:color w:val="auto"/>
        </w:rPr>
      </w:pPr>
      <w:r>
        <w:rPr>
          <w:rFonts w:ascii="Times New Roman" w:cs="Times New Roman" w:eastAsia="Times New Roman" w:hAnsi="Times New Roman"/>
          <w:sz w:val="18"/>
          <w:szCs w:val="18"/>
          <w:color w:val="auto"/>
        </w:rPr>
        <w:t>BurTech and its board of directors have determined that there will not be sufficient time before March 15, 2023 to hold a Special Meeting to obtain stockholder approval of, and to consummate, the Business Combination. Accordingly, BurTech’s board has determined that, given BurTech’s expenditure of time, effort and money on identifying any company as a target business and completing its initial business combination, it is in the best interests of its stockholders to approve the Charter Amendment Proposal and the Trust Amendment Proposal in order to amend the Charter and to amend the Trust Agreement. Assuming that the Charter Amendment Proposal and the Trust Amendment Proposal are so approved, and both the Charter and the Trust Agreement are amended, BurTech will have to consummate an initial business combination before the Extended Termination Date.</w:t>
      </w:r>
    </w:p>
    <w:p>
      <w:pPr>
        <w:spacing w:after="0" w:line="187"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If BurTech’s board of directors determines that BurTech will not be able to consummate an initial business combination by the Extended Termination Date, BurTech would then look to wind up the Company’s affairs and redeem 100% of the outstanding public shares of Class A common stock.</w:t>
      </w:r>
    </w:p>
    <w:p>
      <w:pPr>
        <w:spacing w:after="0" w:line="172"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In connection with the Charter Amendment Proposal, public stockholders may elect (the “</w:t>
      </w:r>
      <w:r>
        <w:rPr>
          <w:rFonts w:ascii="Times New Roman" w:cs="Times New Roman" w:eastAsia="Times New Roman" w:hAnsi="Times New Roman"/>
          <w:sz w:val="18"/>
          <w:szCs w:val="18"/>
          <w:b w:val="1"/>
          <w:bCs w:val="1"/>
          <w:u w:val="single" w:color="auto"/>
          <w:color w:val="auto"/>
        </w:rPr>
        <w:t>Election</w:t>
      </w:r>
      <w:r>
        <w:rPr>
          <w:rFonts w:ascii="Times New Roman" w:cs="Times New Roman" w:eastAsia="Times New Roman" w:hAnsi="Times New Roman"/>
          <w:sz w:val="18"/>
          <w:szCs w:val="18"/>
          <w:color w:val="auto"/>
        </w:rPr>
        <w:t>”) to redeem their shares for a per-share price, payable in cash, equal to the aggregate amount then on deposit in the Trust Account, including interest not previously released to BurTech to pay franchise and income taxes, divided by the number of then outstanding public shares of Class A common stock, regardless of whether such public stockholders vote “FOR” or “AGAINST” the Charter Amendment Proposal, the Trust Amendment Proposal and the Adjournment Proposal, and an Election can also be made by public stockholders who do not vote, or do not instruct their broker or bank how to vote, at the Special Meeting. Public stockholders may make an Election regardless of whether such public stockholders were holders as of the record date. If the Charter Amendment Proposal, the Trust Amendment Proposal and the Adjournment Proposal are approved by the requisite vote of stockholders, the remaining holders of public shares of Class A common stock will retain their right to redeem their public shares of Class A common stock when the Initial Business combination is submitted to the stockholders, subject to any limitations set forth in our Charter, as amended by the Charter Amendment. However, BurTech will not proceed with the Charter Amendment Proposal and the Trust Amendment Proposal if the redemption of public shares of Class A common stock in connection therewith would cause BurTech to have net tangible assets of less than $5,000,001. Each redemption of shares by our public stockholders will decrease the amount in our Trust Account, which held approximately $292.2 million of marketable securities as of [*], 2022. In addition, public stockholders who do not make the Election would be entitled to have their shares redeemed for cash if BurTech has not completed a business combination by the Extended Termination Date. Our sponsor, our officers and directors and our other initial stockholders, own an aggregate of 10,385,750 shares of our common stock, which includes 9,487,500 shares of Class B common stock that we refer to as the “</w:t>
      </w:r>
      <w:r>
        <w:rPr>
          <w:rFonts w:ascii="Times New Roman" w:cs="Times New Roman" w:eastAsia="Times New Roman" w:hAnsi="Times New Roman"/>
          <w:sz w:val="18"/>
          <w:szCs w:val="18"/>
          <w:b w:val="1"/>
          <w:bCs w:val="1"/>
          <w:u w:val="single" w:color="auto"/>
          <w:color w:val="auto"/>
        </w:rPr>
        <w:t>Founder Shares</w:t>
      </w:r>
      <w:r>
        <w:rPr>
          <w:rFonts w:ascii="Times New Roman" w:cs="Times New Roman" w:eastAsia="Times New Roman" w:hAnsi="Times New Roman"/>
          <w:sz w:val="18"/>
          <w:szCs w:val="18"/>
          <w:color w:val="auto"/>
        </w:rPr>
        <w:t>”, issued prior to our initial public offering (“</w:t>
      </w:r>
      <w:r>
        <w:rPr>
          <w:rFonts w:ascii="Times New Roman" w:cs="Times New Roman" w:eastAsia="Times New Roman" w:hAnsi="Times New Roman"/>
          <w:sz w:val="18"/>
          <w:szCs w:val="18"/>
          <w:b w:val="1"/>
          <w:bCs w:val="1"/>
          <w:u w:val="single" w:color="auto"/>
          <w:color w:val="auto"/>
        </w:rPr>
        <w:t>IPO</w:t>
      </w:r>
      <w:r>
        <w:rPr>
          <w:rFonts w:ascii="Times New Roman" w:cs="Times New Roman" w:eastAsia="Times New Roman" w:hAnsi="Times New Roman"/>
          <w:sz w:val="18"/>
          <w:szCs w:val="18"/>
          <w:color w:val="auto"/>
        </w:rPr>
        <w:t>”) and 898,250 shares of our Class A common stock, which we refer to as the “</w:t>
      </w:r>
      <w:r>
        <w:rPr>
          <w:rFonts w:ascii="Times New Roman" w:cs="Times New Roman" w:eastAsia="Times New Roman" w:hAnsi="Times New Roman"/>
          <w:sz w:val="18"/>
          <w:szCs w:val="18"/>
          <w:b w:val="1"/>
          <w:bCs w:val="1"/>
          <w:u w:val="single" w:color="auto"/>
          <w:color w:val="auto"/>
        </w:rPr>
        <w:t>Private Placement Shares</w:t>
      </w:r>
      <w:r>
        <w:rPr>
          <w:rFonts w:ascii="Times New Roman" w:cs="Times New Roman" w:eastAsia="Times New Roman" w:hAnsi="Times New Roman"/>
          <w:sz w:val="18"/>
          <w:szCs w:val="18"/>
          <w:color w:val="auto"/>
        </w:rPr>
        <w:t>” that were included in the units purchased in a private placement which occurred simultaneously with the completion of the IPO.</w:t>
      </w:r>
    </w:p>
    <w:p>
      <w:pPr>
        <w:spacing w:after="0" w:line="197"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We have issued to EF Hutton, a division of Benchmark Investments, LLC or their affiliates, as representative of the underwriters in our IPO (the “</w:t>
      </w:r>
      <w:r>
        <w:rPr>
          <w:rFonts w:ascii="Times New Roman" w:cs="Times New Roman" w:eastAsia="Times New Roman" w:hAnsi="Times New Roman"/>
          <w:sz w:val="18"/>
          <w:szCs w:val="18"/>
          <w:b w:val="1"/>
          <w:bCs w:val="1"/>
          <w:u w:val="single" w:color="auto"/>
          <w:color w:val="auto"/>
        </w:rPr>
        <w:t>Representative</w:t>
      </w:r>
      <w:r>
        <w:rPr>
          <w:rFonts w:ascii="Times New Roman" w:cs="Times New Roman" w:eastAsia="Times New Roman" w:hAnsi="Times New Roman"/>
          <w:sz w:val="18"/>
          <w:szCs w:val="18"/>
          <w:color w:val="auto"/>
        </w:rPr>
        <w:t>”), 431,250 shares of our Class A common stock in connection with the consummation of the IPO (including share issued upon exercise of the underwriters’ over-allotment option). We refer to such shares of Class A common stock as the “</w:t>
      </w:r>
      <w:r>
        <w:rPr>
          <w:rFonts w:ascii="Times New Roman" w:cs="Times New Roman" w:eastAsia="Times New Roman" w:hAnsi="Times New Roman"/>
          <w:sz w:val="18"/>
          <w:szCs w:val="18"/>
          <w:b w:val="1"/>
          <w:bCs w:val="1"/>
          <w:u w:val="single" w:color="auto"/>
          <w:color w:val="auto"/>
        </w:rPr>
        <w:t>Representative Shares</w:t>
      </w:r>
      <w:r>
        <w:rPr>
          <w:rFonts w:ascii="Times New Roman" w:cs="Times New Roman" w:eastAsia="Times New Roman" w:hAnsi="Times New Roman"/>
          <w:sz w:val="18"/>
          <w:szCs w:val="18"/>
          <w:color w:val="auto"/>
        </w:rPr>
        <w:t>.” The holders of the Representative Shares have agreed not to transfer, assign or sell any such shares without our prior consent until the completion of our initial business combination. In addition, the holders of the Representative Shares have agreed (i) to waive their redemption rights (or right to participate in any tender offer) with respect to such shares in connection with the completion of our initial business combination and (ii) to waive their rights to liquidating distributions from the trust account with respect to such shares if we fail to complete our initial business combination by the Original Termination 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422910</wp:posOffset>
            </wp:positionV>
            <wp:extent cx="7132320" cy="88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32" w:name="page33"/>
    <w:bookmarkEnd w:id="32"/>
    <w:p>
      <w:pPr>
        <w:spacing w:after="0"/>
        <w:rPr>
          <w:sz w:val="20"/>
          <w:szCs w:val="20"/>
          <w:color w:val="auto"/>
        </w:rPr>
      </w:pPr>
      <w:r>
        <w:rPr>
          <w:rFonts w:ascii="Times New Roman" w:cs="Times New Roman" w:eastAsia="Times New Roman" w:hAnsi="Times New Roman"/>
          <w:sz w:val="18"/>
          <w:szCs w:val="18"/>
          <w:b w:val="1"/>
          <w:bCs w:val="1"/>
          <w:color w:val="auto"/>
        </w:rPr>
        <w:t>Factors to Consider</w:t>
      </w:r>
    </w:p>
    <w:p>
      <w:pPr>
        <w:spacing w:after="0" w:line="229" w:lineRule="exact"/>
        <w:rPr>
          <w:sz w:val="20"/>
          <w:szCs w:val="20"/>
          <w:color w:val="auto"/>
        </w:rPr>
      </w:pPr>
    </w:p>
    <w:p>
      <w:pPr>
        <w:ind w:firstLine="432"/>
        <w:spacing w:after="0" w:line="282" w:lineRule="auto"/>
        <w:rPr>
          <w:sz w:val="20"/>
          <w:szCs w:val="20"/>
          <w:color w:val="auto"/>
        </w:rPr>
      </w:pPr>
      <w:r>
        <w:rPr>
          <w:rFonts w:ascii="Times New Roman" w:cs="Times New Roman" w:eastAsia="Times New Roman" w:hAnsi="Times New Roman"/>
          <w:sz w:val="18"/>
          <w:szCs w:val="18"/>
          <w:color w:val="auto"/>
        </w:rPr>
        <w:t>When you consider the recommendation of our board, you should consider, among other things, the following benefits and detriments of the proposals to you as the public stockholders:</w:t>
      </w:r>
    </w:p>
    <w:p>
      <w:pPr>
        <w:spacing w:after="0" w:line="162" w:lineRule="exact"/>
        <w:rPr>
          <w:sz w:val="20"/>
          <w:szCs w:val="20"/>
          <w:color w:val="auto"/>
        </w:rPr>
      </w:pPr>
    </w:p>
    <w:p>
      <w:pPr>
        <w:jc w:val="both"/>
        <w:ind w:left="980" w:hanging="324"/>
        <w:spacing w:after="0" w:line="261" w:lineRule="auto"/>
        <w:tabs>
          <w:tab w:leader="none" w:pos="980"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Charter Amendment Proposal and the Trust Amendment Proposal are approved and the Company extends the Combination Period to September 15, 2023, with six (6) one-month extensions each time after March 15, 2023, the additional redemption amount added to the trust account will be $[337,500] or approximately $0.045 per share (or a per share redemption amount of approximately $[10.195], assuming payment of the extension amount for six (6) one-month extensions and no redemptions).</w:t>
      </w:r>
    </w:p>
    <w:p>
      <w:pPr>
        <w:spacing w:after="0" w:line="179" w:lineRule="exact"/>
        <w:rPr>
          <w:rFonts w:ascii="Times New Roman" w:cs="Times New Roman" w:eastAsia="Times New Roman" w:hAnsi="Times New Roman"/>
          <w:sz w:val="18"/>
          <w:szCs w:val="18"/>
          <w:color w:val="auto"/>
        </w:rPr>
      </w:pPr>
    </w:p>
    <w:p>
      <w:pPr>
        <w:ind w:left="980" w:hanging="324"/>
        <w:spacing w:after="0" w:line="282" w:lineRule="auto"/>
        <w:tabs>
          <w:tab w:leader="none" w:pos="980"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Public stockholders may seek to have their shares redeemed regardless of whether they vote for or against the proposals and whether or not they are holders of our Common Stock as of the Record Date. (See “</w:t>
      </w:r>
      <w:r>
        <w:rPr>
          <w:rFonts w:ascii="Times New Roman" w:cs="Times New Roman" w:eastAsia="Times New Roman" w:hAnsi="Times New Roman"/>
          <w:sz w:val="18"/>
          <w:szCs w:val="18"/>
          <w:b w:val="1"/>
          <w:bCs w:val="1"/>
          <w:u w:val="single" w:color="auto"/>
          <w:color w:val="auto"/>
        </w:rPr>
        <w:t>Conversion Rights</w:t>
      </w:r>
      <w:r>
        <w:rPr>
          <w:rFonts w:ascii="Times New Roman" w:cs="Times New Roman" w:eastAsia="Times New Roman" w:hAnsi="Times New Roman"/>
          <w:sz w:val="18"/>
          <w:szCs w:val="18"/>
          <w:color w:val="auto"/>
        </w:rPr>
        <w:t>”).</w:t>
      </w:r>
    </w:p>
    <w:p>
      <w:pPr>
        <w:spacing w:after="0" w:line="161" w:lineRule="exact"/>
        <w:rPr>
          <w:rFonts w:ascii="Times New Roman" w:cs="Times New Roman" w:eastAsia="Times New Roman" w:hAnsi="Times New Roman"/>
          <w:sz w:val="18"/>
          <w:szCs w:val="18"/>
          <w:color w:val="auto"/>
        </w:rPr>
      </w:pPr>
    </w:p>
    <w:p>
      <w:pPr>
        <w:jc w:val="both"/>
        <w:ind w:left="980" w:hanging="324"/>
        <w:spacing w:after="0" w:line="261" w:lineRule="auto"/>
        <w:tabs>
          <w:tab w:leader="none" w:pos="980"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redemption of shares by our public stockholders will decrease the amount in our Trust Account, which held approximately $292.2 million of marketable securities as of [November *], 2022. BurTech will not proceed with the Charter Amendment and Trust Amendment if the redemption of public shares of Class A common stock in connection therewith would cause BurTech to have net tangible assets of less than $5,000,001.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417195</wp:posOffset>
            </wp:positionV>
            <wp:extent cx="7132320" cy="82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33" w:name="page34"/>
    <w:bookmarkEnd w:id="33"/>
    <w:p>
      <w:pPr>
        <w:spacing w:after="0"/>
        <w:rPr>
          <w:sz w:val="20"/>
          <w:szCs w:val="20"/>
          <w:color w:val="auto"/>
        </w:rPr>
      </w:pPr>
      <w:r>
        <w:rPr>
          <w:rFonts w:ascii="Times New Roman" w:cs="Times New Roman" w:eastAsia="Times New Roman" w:hAnsi="Times New Roman"/>
          <w:sz w:val="18"/>
          <w:szCs w:val="18"/>
          <w:b w:val="1"/>
          <w:bCs w:val="1"/>
          <w:color w:val="auto"/>
        </w:rPr>
        <w:t>Interests of the Company’s Directors and Officers</w:t>
      </w:r>
    </w:p>
    <w:p>
      <w:pPr>
        <w:spacing w:after="0" w:line="229" w:lineRule="exact"/>
        <w:rPr>
          <w:sz w:val="20"/>
          <w:szCs w:val="20"/>
          <w:color w:val="auto"/>
        </w:rPr>
      </w:pPr>
    </w:p>
    <w:p>
      <w:pPr>
        <w:jc w:val="both"/>
        <w:ind w:firstLine="432"/>
        <w:spacing w:after="0" w:line="266" w:lineRule="auto"/>
        <w:rPr>
          <w:sz w:val="20"/>
          <w:szCs w:val="20"/>
          <w:color w:val="auto"/>
        </w:rPr>
      </w:pPr>
      <w:r>
        <w:rPr>
          <w:rFonts w:ascii="Times New Roman" w:cs="Times New Roman" w:eastAsia="Times New Roman" w:hAnsi="Times New Roman"/>
          <w:sz w:val="18"/>
          <w:szCs w:val="18"/>
          <w:color w:val="auto"/>
        </w:rPr>
        <w:t>When you consider the recommendation of our board, you should also keep in mind that BurTech’s Sponsor, initial stockholders, officers and directors have interests in the proposals and the business combination that may be different from, or in addition to, your interests as a stockholder. These interests include, among other things:</w:t>
      </w:r>
    </w:p>
    <w:p>
      <w:pPr>
        <w:spacing w:after="0" w:line="176" w:lineRule="exact"/>
        <w:rPr>
          <w:sz w:val="20"/>
          <w:szCs w:val="20"/>
          <w:color w:val="auto"/>
        </w:rPr>
      </w:pPr>
    </w:p>
    <w:p>
      <w:pPr>
        <w:jc w:val="both"/>
        <w:ind w:left="1260" w:hanging="348"/>
        <w:spacing w:after="0" w:line="266" w:lineRule="auto"/>
        <w:tabs>
          <w:tab w:leader="none" w:pos="1260"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BurTech’s Sponsor has a fiduciary obligation to its members and Shahal Khan, (BurTech’s Chief Executive Officer and Director) is the controlling member of our Sponsor. Roman Livson our Chief Financial Officer is also a member of our Sponsor. Each of Mr. Khan and Mr. Livson has a fiduciary obligation to both BurTech and the Sponsor, and may have a conflict of interest when voting.</w:t>
      </w:r>
    </w:p>
    <w:p>
      <w:pPr>
        <w:spacing w:after="0" w:line="175" w:lineRule="exact"/>
        <w:rPr>
          <w:rFonts w:ascii="Times New Roman" w:cs="Times New Roman" w:eastAsia="Times New Roman" w:hAnsi="Times New Roman"/>
          <w:sz w:val="18"/>
          <w:szCs w:val="18"/>
          <w:color w:val="auto"/>
        </w:rPr>
      </w:pPr>
    </w:p>
    <w:p>
      <w:pPr>
        <w:jc w:val="both"/>
        <w:ind w:left="1260" w:hanging="348"/>
        <w:spacing w:after="0" w:line="255" w:lineRule="auto"/>
        <w:tabs>
          <w:tab w:leader="none" w:pos="1260"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an initial business combination is not completed, BurTech will be required to dissolve and liquidate. In such event, the 9,487,500 Founder Shares which were acquired prior to the IPO and 898,250 Private Placement Shares included in the private placement units acquired in the private placement simultaneously with the closing of the IPO currently held by the initial stockholders, will be worthless because such holders have agreed to waive their rights to any liquidation distributions. The Founder Shares were purchased for an aggregate purchase price of $25,000 and had an aggregate market value of approximately $[●] million, and the Private Placement Shares had an aggregate market value of approximately $[●] million, based on the closing price of $[●] per share of BurTech’s Class A common stock on the Nasdaq Stock Market as of [●], 2022.</w:t>
      </w:r>
    </w:p>
    <w:p>
      <w:pPr>
        <w:spacing w:after="0" w:line="200" w:lineRule="exact"/>
        <w:rPr>
          <w:rFonts w:ascii="Times New Roman" w:cs="Times New Roman" w:eastAsia="Times New Roman" w:hAnsi="Times New Roman"/>
          <w:sz w:val="18"/>
          <w:szCs w:val="18"/>
          <w:color w:val="auto"/>
        </w:rPr>
      </w:pPr>
    </w:p>
    <w:p>
      <w:pPr>
        <w:spacing w:after="0" w:line="204" w:lineRule="exact"/>
        <w:rPr>
          <w:rFonts w:ascii="Times New Roman" w:cs="Times New Roman" w:eastAsia="Times New Roman" w:hAnsi="Times New Roman"/>
          <w:sz w:val="18"/>
          <w:szCs w:val="18"/>
          <w:color w:val="auto"/>
        </w:rPr>
      </w:pPr>
    </w:p>
    <w:p>
      <w:pPr>
        <w:jc w:val="both"/>
        <w:ind w:left="1260" w:hanging="348"/>
        <w:spacing w:after="0" w:line="255" w:lineRule="auto"/>
        <w:tabs>
          <w:tab w:leader="none" w:pos="1260"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Because of these interests, BurTech’s initial stockholders could benefit from the completion of a business combination that is not favorable to its public stockholders and may be incentivized to complete an acquisition of a less favorable target company or on terms less favorable to public stockholders rather than liquidate. For example, if the share price of the BurTech Common Stock declined to $5.00 per share after the close of the business combination, BurTech’s public stockholder that purchased shares in the initial public offering, would have a loss of $5.00 per share, while BurTech’s initial stockholders would have a gain of $[4.99] per share because it acquired the Founder Shares for a nominal amount. In other words, BurTech’s initial stockholders can earn a positive rate of return on their investment even if public stockholders experience a negative rate of return in the post-combination company.</w:t>
      </w:r>
    </w:p>
    <w:p>
      <w:pPr>
        <w:spacing w:after="0" w:line="184" w:lineRule="exact"/>
        <w:rPr>
          <w:rFonts w:ascii="Times New Roman" w:cs="Times New Roman" w:eastAsia="Times New Roman" w:hAnsi="Times New Roman"/>
          <w:sz w:val="18"/>
          <w:szCs w:val="18"/>
          <w:color w:val="auto"/>
        </w:rPr>
      </w:pPr>
    </w:p>
    <w:p>
      <w:pPr>
        <w:jc w:val="both"/>
        <w:ind w:left="1260" w:hanging="348"/>
        <w:spacing w:after="0" w:line="268" w:lineRule="auto"/>
        <w:tabs>
          <w:tab w:leader="none" w:pos="1260"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BurTech’s sponsor is BurTech LP, LLC (“</w:t>
      </w:r>
      <w:r>
        <w:rPr>
          <w:rFonts w:ascii="Times New Roman" w:cs="Times New Roman" w:eastAsia="Times New Roman" w:hAnsi="Times New Roman"/>
          <w:sz w:val="18"/>
          <w:szCs w:val="18"/>
          <w:b w:val="1"/>
          <w:bCs w:val="1"/>
          <w:u w:val="single" w:color="auto"/>
          <w:color w:val="auto"/>
        </w:rPr>
        <w:t>Sponsor</w:t>
      </w:r>
      <w:r>
        <w:rPr>
          <w:rFonts w:ascii="Times New Roman" w:cs="Times New Roman" w:eastAsia="Times New Roman" w:hAnsi="Times New Roman"/>
          <w:sz w:val="18"/>
          <w:szCs w:val="18"/>
          <w:color w:val="auto"/>
        </w:rPr>
        <w:t>”), and its managing member is Shahal Khan. If an initial business combination, such as the Initial Business Combination, is not completed, the Sponsor will lose an aggregate of approximately $[●] million, comprised of the following:</w:t>
      </w:r>
    </w:p>
    <w:p>
      <w:pPr>
        <w:spacing w:after="0" w:line="174" w:lineRule="exact"/>
        <w:rPr>
          <w:rFonts w:ascii="Times New Roman" w:cs="Times New Roman" w:eastAsia="Times New Roman" w:hAnsi="Times New Roman"/>
          <w:sz w:val="18"/>
          <w:szCs w:val="18"/>
          <w:color w:val="auto"/>
        </w:rPr>
      </w:pPr>
    </w:p>
    <w:p>
      <w:pPr>
        <w:jc w:val="both"/>
        <w:ind w:left="1580" w:hanging="330"/>
        <w:spacing w:after="0" w:line="266" w:lineRule="auto"/>
        <w:tabs>
          <w:tab w:leader="none" w:pos="1580" w:val="left"/>
        </w:tabs>
        <w:numPr>
          <w:ilvl w:val="1"/>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approximately $[●] million (based on the closing price of $[●] per share of BurTech Class A common stock on the Nasdaq Stock Market as of [●], 2022) of the 9,487,500 Founder Shares and the 898,250 Private Placement Shares that were included in the units sold in the private placement simultaneously with the IPO, that the Sponsor holds;</w:t>
      </w:r>
    </w:p>
    <w:p>
      <w:pPr>
        <w:spacing w:after="0" w:line="175" w:lineRule="exact"/>
        <w:rPr>
          <w:rFonts w:ascii="Times New Roman" w:cs="Times New Roman" w:eastAsia="Times New Roman" w:hAnsi="Times New Roman"/>
          <w:sz w:val="18"/>
          <w:szCs w:val="18"/>
          <w:color w:val="auto"/>
        </w:rPr>
      </w:pPr>
    </w:p>
    <w:p>
      <w:pPr>
        <w:ind w:left="1580" w:hanging="330"/>
        <w:spacing w:after="0" w:line="282" w:lineRule="auto"/>
        <w:tabs>
          <w:tab w:leader="none" w:pos="1580" w:val="left"/>
        </w:tabs>
        <w:numPr>
          <w:ilvl w:val="1"/>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$10,000 monthly administrative fee under the administrative support agreement pursuant to which BurTech may delay payment of the same until the consummation of a business combination.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405765</wp:posOffset>
            </wp:positionV>
            <wp:extent cx="7132320" cy="825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34" w:name="page35"/>
    <w:bookmarkEnd w:id="34"/>
    <w:p>
      <w:pPr>
        <w:jc w:val="both"/>
        <w:ind w:firstLine="648"/>
        <w:spacing w:after="0" w:line="268" w:lineRule="auto"/>
        <w:rPr>
          <w:sz w:val="20"/>
          <w:szCs w:val="20"/>
          <w:color w:val="auto"/>
        </w:rPr>
      </w:pPr>
      <w:r>
        <w:rPr>
          <w:rFonts w:ascii="Times New Roman" w:cs="Times New Roman" w:eastAsia="Times New Roman" w:hAnsi="Times New Roman"/>
          <w:sz w:val="18"/>
          <w:szCs w:val="18"/>
          <w:b w:val="1"/>
          <w:bCs w:val="1"/>
          <w:color w:val="auto"/>
        </w:rPr>
        <w:t>We may not be able to complete an initial business combination with a U.S. target company if such initial business combination is subject to U.S. foreign investment regulations and review by a U.S. government entity such as the Committee on Foreign Investment in the United States (CFIUS), or ultimately prohibited.</w:t>
      </w:r>
    </w:p>
    <w:p>
      <w:pPr>
        <w:spacing w:after="0" w:line="175"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Our sponsor, BurTech LP, LLC is controlled by Shahal Khan, a USA citizen, and also our chief executive officer. Mr. Khan will not remain with the Company after the Initial Business Combination. For these reasons, we do not expect the post-combination company to be considered a “foreign person” under the regulations administered by CFIUS. However, if our initial business combination with a U.S. business is subject to CFIUS review, the scope of which was expanded by the Foreign Investment Risk Review Modernization Act of 2018 (“</w:t>
      </w:r>
      <w:r>
        <w:rPr>
          <w:rFonts w:ascii="Times New Roman" w:cs="Times New Roman" w:eastAsia="Times New Roman" w:hAnsi="Times New Roman"/>
          <w:sz w:val="18"/>
          <w:szCs w:val="18"/>
          <w:b w:val="1"/>
          <w:bCs w:val="1"/>
          <w:u w:val="single" w:color="auto"/>
          <w:color w:val="auto"/>
        </w:rPr>
        <w:t>FIRRMA</w:t>
      </w:r>
      <w:r>
        <w:rPr>
          <w:rFonts w:ascii="Times New Roman" w:cs="Times New Roman" w:eastAsia="Times New Roman" w:hAnsi="Times New Roman"/>
          <w:sz w:val="18"/>
          <w:szCs w:val="18"/>
          <w:color w:val="auto"/>
        </w:rPr>
        <w:t>”), to include certain non-passive, non-controlling investments in sensitive U.S. businesses and certain acquisitions of real estate even with no underlying U.S. business, this could delay us in consummating our business combination. FIRRMA, and subsequent implementing regulations that are now in force, also subjects certain categories of investments to mandatory filings. If our potential initial business combination with a U.S. business falls within CFIUS’s jurisdiction, we may determine that we are required to make a mandatory filing or that we will submit a voluntary notice to CFIUS, or to proceed with the initial business combination without notifying CFIUS and risk CFIUS intervention, before or after closing the initial business combination. CFIUS may decide to block or delay our initial business combination, impose conditions to mitigate national security concerns with respect to such initial business combination or order us to divest all or a portion of a U.S. business of the combined company without first obtaining CFIUS clearance, which may limit the attractiveness of or prevent us from pursuing certain initial business combination opportunities that we believe would otherwise be beneficial to us and our stockholders. As a result, the pool of potential targets with which we could complete an initial business combination may be limited and we may be adversely affected in terms of competing with other special purpose acquisition companies which do not have similar foreign ownership issues.</w:t>
      </w:r>
    </w:p>
    <w:p>
      <w:pPr>
        <w:spacing w:after="0" w:line="197"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Moreover, the process of government review, whether by the CFIUS or otherwise, could be lengthy and we have limited time to complete our initial business combination. If we cannot complete our initial business combination by March 15, 2023 due to the passage of time relating to any governmental review, or because any such review process drags on beyond such timeframe, or because our initial business combination is ultimately prohibited by CFIUS or another U.S. government entity, we may be required to liquidate. In such situation, BurTech would (i) cease all operations except for the purpose of winding up and (ii) as promptly as reasonably possible but not more than ten business days thereafter, redeem 100% of the outstanding shares of common stock, at a per-share of common stock price, payable in cash, equal to the aggregate amount then on deposit in the Trust Account, including any interest not previously released to BurTech (net of taxes payable), divided by the number of then outstanding shares of Class A common stock, which redemption will completely extinguish public stockholders’ rights as holders of shares of common stock (including the right to receive further liquidation distributions, if any), subject to applicable law.</w:t>
      </w:r>
    </w:p>
    <w:p>
      <w:pPr>
        <w:spacing w:after="0" w:line="188"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As promptly as reasonably possible following such redemption, BurTech would dissolve and liquidate, subject to its obligations under Delaware law to provide for claims of creditors and the requirements of other applicable law.</w:t>
      </w:r>
    </w:p>
    <w:p>
      <w:pPr>
        <w:spacing w:after="0" w:line="162"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If we liquidate, our public stockholders may only receive $[10.15] per share. This will also cause you to lose the investment opportunity in the target company and the chance of realizing future gains on your investment through any price appreciation in the combined company, and our warrants will expire worthless.</w:t>
      </w:r>
    </w:p>
    <w:p>
      <w:pPr>
        <w:spacing w:after="0" w:line="176"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If the Charter Amendment Proposal and the Trust Amendment Proposal are approved, the Company may extend the time to complete a business combination on an as-needed, month-to-month basis, until September 15, 2023.</w:t>
      </w:r>
    </w:p>
    <w:p>
      <w:pPr>
        <w:spacing w:after="0" w:line="158" w:lineRule="exact"/>
        <w:rPr>
          <w:sz w:val="20"/>
          <w:szCs w:val="20"/>
          <w:color w:val="auto"/>
        </w:rPr>
      </w:pPr>
    </w:p>
    <w:p>
      <w:pPr>
        <w:jc w:val="both"/>
        <w:ind w:firstLine="648"/>
        <w:spacing w:after="0" w:line="259" w:lineRule="auto"/>
        <w:rPr>
          <w:sz w:val="20"/>
          <w:szCs w:val="20"/>
          <w:color w:val="auto"/>
        </w:rPr>
      </w:pPr>
      <w:r>
        <w:rPr>
          <w:rFonts w:ascii="Times New Roman" w:cs="Times New Roman" w:eastAsia="Times New Roman" w:hAnsi="Times New Roman"/>
          <w:sz w:val="18"/>
          <w:szCs w:val="18"/>
          <w:b w:val="1"/>
          <w:bCs w:val="1"/>
          <w:color w:val="auto"/>
        </w:rPr>
        <w:t>To exercise your redemption rights, you must tender your shares to the Company’s transfer agent at least two business days prior to the Special Meeting (or [●], 2022). You may tender your shares by either delivering your share certificate to the transfer agent or by delivering your shares electronically using the Depository Trust Company’s DWAC (Deposit/Withdrawal At Custodian) system. If you hold your shares in street name, you will need to instruct your bank, broker or other nominee to withdraw the shares from your account in order to exercise your redemption rights.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419100</wp:posOffset>
            </wp:positionV>
            <wp:extent cx="7132320" cy="88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35" w:name="page36"/>
    <w:bookmarkEnd w:id="35"/>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As of [*], 2022, there was approximately $292.2 million in the Trust Account. If the Charter Amendment Proposal and the Trust Amendment Proposal are approved and the Extension Termination Date is extended to September 15, 2023, the redemption price per share at the meeting for the Initial Business combination or the Company’s subsequent liquidation will be approximately $[10.195] per share (without taking into account any interest) in comparison to the current redemption price of approximately $[10.15] per share. The closing price of the Company’s common stock on [●], 2022 was $[●]. The Company cannot assure stockholders that they will be able to sell their shares of the Company’s common stock in the open market, even if the market price per share is higher than the redemption price stated above, as there may not be sufficient liquidity in its securities when such stockholders wish to sell their shares.</w:t>
      </w:r>
    </w:p>
    <w:p>
      <w:pPr>
        <w:spacing w:after="0" w:line="189"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If the Charter Amendment Proposal, the Trust Amendment Proposal and the Adjournment proposals are not approved and we do not consummate a business combination by March 15, 2023, as contemplated by our IPO prospectus and in accordance with our Charter, we will (i) cease all operations except for the purpose of winding up, (ii) as promptly as reasonably possible but not more than ten business days thereafter, redeem 100% of the outstanding public shares of Class A common stock, at a per-share price, payable in cash, equal to the aggregate amount then on deposit in the trust account, including any interest not previously released to us (net of taxes payable), divided by the number of then outstanding public shares of Class A common stock, which redemption will completely extinguish public stockholders’ rights as stockholders (including the right to receive further liquidation distributions, if any), subject to applicable law, and (iii) as promptly as reasonably possible following such redemption, subject to the approval of our remaining stockholders and our board of directors, dissolve and liquidate, subject (in the case of (ii) and (iii) above) to our obligations under Delaware law to provide for claims of creditors and the requirements of other applicable law. There will be no distribution from the Trust Account with respect to our rights that were included in the units purchased in the public offering, which will be worthless in the event of our winding up. In the event of a liquidation, our sponsor, the Representative, our officers and directors and our other initial stockholders will not receive any monies held in the Trust Account as a result of their ownership of the Founder Shares, the Representative Shares or the Private Placement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423545</wp:posOffset>
            </wp:positionV>
            <wp:extent cx="7132320" cy="825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36" w:name="page37"/>
    <w:bookmarkEnd w:id="36"/>
    <w:p>
      <w:pPr>
        <w:spacing w:after="0"/>
        <w:rPr>
          <w:sz w:val="20"/>
          <w:szCs w:val="20"/>
          <w:color w:val="auto"/>
        </w:rPr>
      </w:pPr>
      <w:r>
        <w:rPr>
          <w:rFonts w:ascii="Times New Roman" w:cs="Times New Roman" w:eastAsia="Times New Roman" w:hAnsi="Times New Roman"/>
          <w:sz w:val="18"/>
          <w:szCs w:val="18"/>
          <w:b w:val="1"/>
          <w:bCs w:val="1"/>
          <w:color w:val="auto"/>
        </w:rPr>
        <w:t>Required Vote</w:t>
      </w:r>
    </w:p>
    <w:p>
      <w:pPr>
        <w:spacing w:after="0" w:line="229"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Subject to the foregoing, the affirmative vote of at least 65% of the Company’s outstanding common stock, including the Founder Shares, the Private Placement Shares and the Representative Shares, will be required to approve the Charter Amendment Proposal and the Trust Amendment Proposal. The approval of the Charter Amendment Proposal and the Trust Amendment Proposal are essential to the implementation of our board’s plan to extend the date by which we must consummate our initial business combination. Therefore, our board will abandon and not implement the Charter Amendment Proposal unless our stockholders approve the Charter Amendment Proposal and the Trust Amendment Proposal. This means that if one proposal is approved by the stockholders and the other proposal is not, neither proposal will take effect. Notwithstanding stockholder approval of the Charter Amendment Proposal and the Trust Amendment Proposal, our board will retain the right to abandon and not implement the Charter Amendment Proposal or the Trust Amendment Proposal at any time without any further action by our stockholders.</w:t>
      </w:r>
    </w:p>
    <w:p>
      <w:pPr>
        <w:spacing w:after="0" w:line="192"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Our board has fixed the close of business on [●], 2022 as the date for determining the Company stockholders entitled to receive notice of and vote at the Special Meeting and any adjournment thereof. Only holders of record of the Company’s common stock on that date are entitled to have their votes counted at the Special Meeting or any adjournment thereof.</w:t>
      </w:r>
    </w:p>
    <w:p>
      <w:pPr>
        <w:spacing w:after="0" w:line="172" w:lineRule="exact"/>
        <w:rPr>
          <w:sz w:val="20"/>
          <w:szCs w:val="20"/>
          <w:color w:val="auto"/>
        </w:rPr>
      </w:pPr>
    </w:p>
    <w:p>
      <w:pPr>
        <w:jc w:val="both"/>
        <w:ind w:firstLine="648"/>
        <w:spacing w:after="0" w:line="259" w:lineRule="auto"/>
        <w:rPr>
          <w:sz w:val="20"/>
          <w:szCs w:val="20"/>
          <w:color w:val="auto"/>
        </w:rPr>
      </w:pPr>
      <w:r>
        <w:rPr>
          <w:rFonts w:ascii="Times New Roman" w:cs="Times New Roman" w:eastAsia="Times New Roman" w:hAnsi="Times New Roman"/>
          <w:sz w:val="18"/>
          <w:szCs w:val="18"/>
          <w:b w:val="1"/>
          <w:bCs w:val="1"/>
          <w:color w:val="auto"/>
        </w:rPr>
        <w:t>You are not being asked to vote on any business combination at this time. If the Charter Amendment Proposal and the Trust Amendment Proposal are implemented and you do not elect to redeem your public shares of Class A common stock now, you will retain the right to vote on an Initial Business combination when it is submitted to stockholders and the right to redeem your public shares of Class A common stock into a pro rata portion of the Trust Account in the event a business combination is approved and completed or the Company has not consummated a business combination by the Extended Termination Date.</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Recommendation</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The Company’s board of directors recommends that you vote “FOR” the Charter Amendment Proposal.</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PROPOSAL 2: THE TRUST AMENDMENT</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The Trust Amendment</w:t>
      </w:r>
    </w:p>
    <w:p>
      <w:pPr>
        <w:spacing w:after="0" w:line="225"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The proposed Trust Amendment Proposal would amend our existing Investment Management Trust Agreement (the “</w:t>
      </w:r>
      <w:r>
        <w:rPr>
          <w:rFonts w:ascii="Times New Roman" w:cs="Times New Roman" w:eastAsia="Times New Roman" w:hAnsi="Times New Roman"/>
          <w:sz w:val="18"/>
          <w:szCs w:val="18"/>
          <w:b w:val="1"/>
          <w:bCs w:val="1"/>
          <w:u w:val="single" w:color="auto"/>
          <w:color w:val="auto"/>
        </w:rPr>
        <w:t>Trust Agreement</w:t>
      </w:r>
      <w:r>
        <w:rPr>
          <w:rFonts w:ascii="Times New Roman" w:cs="Times New Roman" w:eastAsia="Times New Roman" w:hAnsi="Times New Roman"/>
          <w:sz w:val="18"/>
          <w:szCs w:val="18"/>
          <w:color w:val="auto"/>
        </w:rPr>
        <w:t>”), dated as of December 10, 2022, by and between the Company and Continental Stock Transfer &amp; Trust Company (the “</w:t>
      </w:r>
      <w:r>
        <w:rPr>
          <w:rFonts w:ascii="Times New Roman" w:cs="Times New Roman" w:eastAsia="Times New Roman" w:hAnsi="Times New Roman"/>
          <w:sz w:val="18"/>
          <w:szCs w:val="18"/>
          <w:b w:val="1"/>
          <w:bCs w:val="1"/>
          <w:u w:val="single" w:color="auto"/>
          <w:color w:val="auto"/>
        </w:rPr>
        <w:t>Trustee</w:t>
      </w:r>
      <w:r>
        <w:rPr>
          <w:rFonts w:ascii="Times New Roman" w:cs="Times New Roman" w:eastAsia="Times New Roman" w:hAnsi="Times New Roman"/>
          <w:sz w:val="18"/>
          <w:szCs w:val="18"/>
          <w:color w:val="auto"/>
        </w:rPr>
        <w:t>”), allowing the Company to extend the time to complete a business combination (the “</w:t>
      </w:r>
      <w:r>
        <w:rPr>
          <w:rFonts w:ascii="Times New Roman" w:cs="Times New Roman" w:eastAsia="Times New Roman" w:hAnsi="Times New Roman"/>
          <w:sz w:val="18"/>
          <w:szCs w:val="18"/>
          <w:b w:val="1"/>
          <w:bCs w:val="1"/>
          <w:u w:val="single" w:color="auto"/>
          <w:color w:val="auto"/>
        </w:rPr>
        <w:t>Business Combination Period</w:t>
      </w:r>
      <w:r>
        <w:rPr>
          <w:rFonts w:ascii="Times New Roman" w:cs="Times New Roman" w:eastAsia="Times New Roman" w:hAnsi="Times New Roman"/>
          <w:sz w:val="18"/>
          <w:szCs w:val="18"/>
          <w:color w:val="auto"/>
        </w:rPr>
        <w:t>”) up to six (6) times on a month-to-month basis (each an “</w:t>
      </w:r>
      <w:r>
        <w:rPr>
          <w:rFonts w:ascii="Times New Roman" w:cs="Times New Roman" w:eastAsia="Times New Roman" w:hAnsi="Times New Roman"/>
          <w:sz w:val="18"/>
          <w:szCs w:val="18"/>
          <w:b w:val="1"/>
          <w:bCs w:val="1"/>
          <w:u w:val="single" w:color="auto"/>
          <w:color w:val="auto"/>
        </w:rPr>
        <w:t>Extension</w:t>
      </w:r>
      <w:r>
        <w:rPr>
          <w:rFonts w:ascii="Times New Roman" w:cs="Times New Roman" w:eastAsia="Times New Roman" w:hAnsi="Times New Roman"/>
          <w:sz w:val="18"/>
          <w:szCs w:val="18"/>
          <w:color w:val="auto"/>
        </w:rPr>
        <w:t>”), each such extension for an additional one-month period, to September 15, 2023 (the “</w:t>
      </w:r>
      <w:r>
        <w:rPr>
          <w:rFonts w:ascii="Times New Roman" w:cs="Times New Roman" w:eastAsia="Times New Roman" w:hAnsi="Times New Roman"/>
          <w:sz w:val="18"/>
          <w:szCs w:val="18"/>
          <w:b w:val="1"/>
          <w:bCs w:val="1"/>
          <w:u w:val="single" w:color="auto"/>
          <w:color w:val="auto"/>
        </w:rPr>
        <w:t>Trust Amendment</w:t>
      </w:r>
      <w:r>
        <w:rPr>
          <w:rFonts w:ascii="Times New Roman" w:cs="Times New Roman" w:eastAsia="Times New Roman" w:hAnsi="Times New Roman"/>
          <w:sz w:val="18"/>
          <w:szCs w:val="18"/>
          <w:color w:val="auto"/>
        </w:rPr>
        <w:t>”), by depositing into the Trust Account $[337,500] (the “</w:t>
      </w:r>
      <w:r>
        <w:rPr>
          <w:rFonts w:ascii="Times New Roman" w:cs="Times New Roman" w:eastAsia="Times New Roman" w:hAnsi="Times New Roman"/>
          <w:sz w:val="18"/>
          <w:szCs w:val="18"/>
          <w:b w:val="1"/>
          <w:bCs w:val="1"/>
          <w:u w:val="single" w:color="auto"/>
          <w:color w:val="auto"/>
        </w:rPr>
        <w:t>Extension Payment</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for each one-month Extension (up to an aggregate of $[2,025,000] to be placed in the Trust Account for the full additional six-month period). A copy of the proposed Trust Amendment is attached to this proxy statement as </w:t>
      </w:r>
      <w:r>
        <w:rPr>
          <w:rFonts w:ascii="Times New Roman" w:cs="Times New Roman" w:eastAsia="Times New Roman" w:hAnsi="Times New Roman"/>
          <w:sz w:val="18"/>
          <w:szCs w:val="18"/>
          <w:u w:val="single" w:color="auto"/>
          <w:color w:val="auto"/>
        </w:rPr>
        <w:t>Annex B</w:t>
      </w:r>
      <w:r>
        <w:rPr>
          <w:rFonts w:ascii="Times New Roman" w:cs="Times New Roman" w:eastAsia="Times New Roman" w:hAnsi="Times New Roman"/>
          <w:sz w:val="18"/>
          <w:szCs w:val="18"/>
          <w:color w:val="auto"/>
        </w:rPr>
        <w:t>. All stockholders are encouraged to read the proposed amendment in its entirety for a more complete description of its terms.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Reasons for the Trust Amendment</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 purpose of the Trust Amendment Proposal is to give the Company the right to extend the Business Combination Period from March 15, 2023 up to six (6) times, each such Extension for an additional one-month period, until September 15, 2023 (i.e., 21 months from the consummation of the IPO), provided that the Extension Payment of $[337,500] is deposited into the Trust Account on or prior to the date of the same applicable deadline (or up to an aggregate of $[2,025,000] for the total six-month period).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417195</wp:posOffset>
            </wp:positionV>
            <wp:extent cx="7132320" cy="82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37" w:name="page38"/>
    <w:bookmarkEnd w:id="37"/>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The Company’s current Charter and Trust Agreement provide that the Company has until March 15, 2023 to complete a business combination without the payment of additional amounts into the Company’s Trust Account.</w:t>
      </w:r>
    </w:p>
    <w:p>
      <w:pPr>
        <w:spacing w:after="0" w:line="162"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BurTech and its board of directors have determined that there will not be sufficient time before March 15, 2023 (its current termination date) to hold a Special Meeting to obtain the requisite stockholder approval of, and to consummate, the Initial Business Combination. However, management believes that it can close the Initial Business Combination before September 15, 2023. Under the circumstances, the Company’s Sponsor or any of its affiliates (the “</w:t>
      </w:r>
      <w:r>
        <w:rPr>
          <w:rFonts w:ascii="Times New Roman" w:cs="Times New Roman" w:eastAsia="Times New Roman" w:hAnsi="Times New Roman"/>
          <w:sz w:val="18"/>
          <w:szCs w:val="18"/>
          <w:b w:val="1"/>
          <w:bCs w:val="1"/>
          <w:u w:val="single" w:color="auto"/>
          <w:color w:val="auto"/>
        </w:rPr>
        <w:t>Contributors</w:t>
      </w:r>
      <w:r>
        <w:rPr>
          <w:rFonts w:ascii="Times New Roman" w:cs="Times New Roman" w:eastAsia="Times New Roman" w:hAnsi="Times New Roman"/>
          <w:sz w:val="18"/>
          <w:szCs w:val="18"/>
          <w:color w:val="auto"/>
        </w:rPr>
        <w:t>”) will pay the extension amount for each proposed one-month extension on an as-needed basis, up to six (6) times for each one-month extension. After consultation with the Company’s Contributors, BurTech’s management has reasons to believe that, if the Charter Amendment Proposal and Trust Amendment Proposal are approved, the Contributors will make a $[337,500] Contribution into the Trust Account as the first Extension Payment, upon five days’ advance notice prior to the applicable deadline, and extend the Combination Period for an additional one-month period each time until September 15, 2023, as needed. Each Contribution will be deposited in the Trust Account within two business days prior to the beginning of the additional extension period (or portion thereof), other than the first Contribution which will be made on the day of the approval of the Trust Amendment Proposal (or up to an aggregate of $[2,025,000] for the total six-month period). The Contribution(s) will bear no interest. The Contributions will be lost by the Contributors if the Company is unable to consummate an initial business combination except to the extent of any funds held outside of the Trust Account.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423545</wp:posOffset>
            </wp:positionV>
            <wp:extent cx="7132320" cy="88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38" w:name="page39"/>
    <w:bookmarkEnd w:id="38"/>
    <w:p>
      <w:pPr>
        <w:spacing w:after="0"/>
        <w:rPr>
          <w:sz w:val="20"/>
          <w:szCs w:val="20"/>
          <w:color w:val="auto"/>
        </w:rPr>
      </w:pPr>
      <w:r>
        <w:rPr>
          <w:rFonts w:ascii="Times New Roman" w:cs="Times New Roman" w:eastAsia="Times New Roman" w:hAnsi="Times New Roman"/>
          <w:sz w:val="18"/>
          <w:szCs w:val="18"/>
          <w:b w:val="1"/>
          <w:bCs w:val="1"/>
          <w:color w:val="auto"/>
        </w:rPr>
        <w:t>If the Trust Amendment Is Not Approved</w:t>
      </w:r>
    </w:p>
    <w:p>
      <w:pPr>
        <w:spacing w:after="0" w:line="229"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If the Trust Amendment Proposal is not approved, and we do not consummate an initial business combination by March 15, 2023, we will be required to dissolve and liquidate our Trust Account by returning the then remaining funds in such account to the public stockholders.</w:t>
      </w:r>
    </w:p>
    <w:p>
      <w:pPr>
        <w:spacing w:after="0" w:line="162"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The Company’s initial stockholders have waived their rights to participate in any liquidation distribution with respect to their insider shares. The Company will pay the costs of liquidation from its remaining assets outside of the Trust Account.</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If the Trust Amendment Proposal Is Approved</w:t>
      </w:r>
    </w:p>
    <w:p>
      <w:pPr>
        <w:spacing w:after="0" w:line="229"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 xml:space="preserve">If the Charter Amendment Proposal and the Trust Amendment Proposal are approved, the amendment to the Trust Agreement in the form of </w:t>
      </w:r>
      <w:r>
        <w:rPr>
          <w:rFonts w:ascii="Times New Roman" w:cs="Times New Roman" w:eastAsia="Times New Roman" w:hAnsi="Times New Roman"/>
          <w:sz w:val="18"/>
          <w:szCs w:val="18"/>
          <w:u w:val="single" w:color="auto"/>
          <w:color w:val="auto"/>
        </w:rPr>
        <w:t>Annex B</w:t>
      </w:r>
      <w:r>
        <w:rPr>
          <w:rFonts w:ascii="Times New Roman" w:cs="Times New Roman" w:eastAsia="Times New Roman" w:hAnsi="Times New Roman"/>
          <w:sz w:val="18"/>
          <w:szCs w:val="18"/>
          <w:color w:val="auto"/>
        </w:rPr>
        <w:t xml:space="preserve"> hereto will be executed and the Trust Account will not be disbursed except in connection with our completion of the Initial Business Combination or in connection with our liquidation if we do not complete an initial business combination by the applicable termination date. The Company will then continue to attempt to consummate a business combination until the applicable termination date or until the Company’s Board of Directors determines in its sole discretion that it will not be able to consummate an initial business combination by the applicable termination date as described below and does not wish to seek an additional extension.</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Required Vote</w:t>
      </w:r>
    </w:p>
    <w:p>
      <w:pPr>
        <w:spacing w:after="0" w:line="229"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Subject to the foregoing, the affirmative vote of at least 65% of the Company’s outstanding Common Stock, including the Founder Shares, Private Placement Shares and the Representative Shares, will be required to approve the Trust Amendment Proposal. Our Board will abandon and not implement the Trust Amendment Proposal unless our stockholders approve both the Charter Amendment Proposal and Trust Amendment Proposal. This means that if one proposal is approved by the stockholders and the other proposal is not, neither proposal will take effect. Notwithstanding stockholder approval of the Charter Amendment Proposal and Trust Amendment Proposal, our Board will retain the right to abandon and not implement the Charter Amendment and Trust Amendment at any time without any further action by our stockholders.</w:t>
      </w:r>
    </w:p>
    <w:p>
      <w:pPr>
        <w:spacing w:after="0" w:line="187"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Our Board has fixed the close of business on [●], 2022, as the date for determining the Company stockholders entitled to receive notice of and vote at the Special Meeting and any adjournment thereof. Only holders of record of the Company’s Common Stock on that date are entitled to have their votes counted at the Special Meeting or any adjournment thereof.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414655</wp:posOffset>
            </wp:positionV>
            <wp:extent cx="7132320" cy="825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39" w:name="page40"/>
    <w:bookmarkEnd w:id="39"/>
    <w:p>
      <w:pPr>
        <w:jc w:val="both"/>
        <w:ind w:firstLine="648"/>
        <w:spacing w:after="0" w:line="259" w:lineRule="auto"/>
        <w:rPr>
          <w:sz w:val="20"/>
          <w:szCs w:val="20"/>
          <w:color w:val="auto"/>
        </w:rPr>
      </w:pPr>
      <w:r>
        <w:rPr>
          <w:rFonts w:ascii="Times New Roman" w:cs="Times New Roman" w:eastAsia="Times New Roman" w:hAnsi="Times New Roman"/>
          <w:sz w:val="18"/>
          <w:szCs w:val="18"/>
          <w:b w:val="1"/>
          <w:bCs w:val="1"/>
          <w:color w:val="auto"/>
        </w:rPr>
        <w:t>You are not being asked to vote on any business combination at this time. If the Trust Amendment is implemented and you do not elect to redeem your public shares of Class A common stock now, you will retain the right to vote on an initial business combination when it is submitted to stockholders and the right to redeem your public shares of Class A common stock into a pro rata portion of the Trust Account in the event a business combination is approved and completed (as long as your election is made at least two (2) business days prior to the meeting at which the stockholders’ vote is sought) or the Company has not consummated the business combination by the applicable termination date.</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Recommendation</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The Company’s board of directors recommends that you vote “FOR” the Trust Amendment Proposal.</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The Company’s Board recommends that you vote “FOR” the Trust Amendment Proposal.</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PROPOSAL 3: THE ADJOURNMENT PROPOSAL</w:t>
      </w:r>
    </w:p>
    <w:p>
      <w:pPr>
        <w:spacing w:after="0" w:line="229"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The adjournment proposal, if adopted, will request the chairman of the Special Meeting (who has agreed to act accordingly) to adjourn the Special Meeting to a later date or dates to permit further solicitation of proxies. The adjournment proposal will only be presented to our stockholders in the event, based on the tabulated votes, there are not sufficient votes at the time of the Special Meeting to approve the other proposal in this proxy statement. If the adjournment proposal is not approved by our stockholders, the chairman of the meeting will not exercise his ability to adjourn the Special Meeting to a later date (which he would otherwise have under the Chairman) in the event, based on the tabulated votes, there are not sufficient votes at the time of the Special Meeting to approve the other proposal.</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Required Vote</w:t>
      </w:r>
    </w:p>
    <w:p>
      <w:pPr>
        <w:spacing w:after="0" w:line="229"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If a majority of the shares present in person or by proxy and voting on the matter at the Special Meeting vote for the adjournment proposal, the chairman of the Special Meeting will exercise his or her power to adjourn the meeting as set out above.</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Recommendation</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The Company’s board of directors recommends that you vote “FOR” the adjournment proposal.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448310</wp:posOffset>
            </wp:positionV>
            <wp:extent cx="7132320" cy="82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40" w:name="page41"/>
    <w:bookmarkEnd w:id="40"/>
    <w:p>
      <w:pPr>
        <w:jc w:val="center"/>
        <w:spacing w:after="0"/>
        <w:rPr>
          <w:sz w:val="20"/>
          <w:szCs w:val="20"/>
          <w:color w:val="auto"/>
        </w:rPr>
      </w:pPr>
      <w:r>
        <w:rPr>
          <w:rFonts w:ascii="Times New Roman" w:cs="Times New Roman" w:eastAsia="Times New Roman" w:hAnsi="Times New Roman"/>
          <w:sz w:val="18"/>
          <w:szCs w:val="18"/>
          <w:b w:val="1"/>
          <w:bCs w:val="1"/>
          <w:color w:val="auto"/>
        </w:rPr>
        <w:t>THE SPECIAL MEETING</w:t>
      </w:r>
    </w:p>
    <w:p>
      <w:pPr>
        <w:spacing w:after="0" w:line="225" w:lineRule="exact"/>
        <w:rPr>
          <w:sz w:val="20"/>
          <w:szCs w:val="20"/>
          <w:color w:val="auto"/>
        </w:rPr>
      </w:pPr>
    </w:p>
    <w:p>
      <w:pPr>
        <w:jc w:val="both"/>
        <w:ind w:right="20" w:firstLine="3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 xml:space="preserve">Date, Time and Place. </w:t>
      </w:r>
      <w:r>
        <w:rPr>
          <w:rFonts w:ascii="Times New Roman" w:cs="Times New Roman" w:eastAsia="Times New Roman" w:hAnsi="Times New Roman"/>
          <w:sz w:val="18"/>
          <w:szCs w:val="18"/>
          <w:color w:val="auto"/>
        </w:rPr>
        <w:t>For the purposes of the articles of association of BurTech, the physical place of the meeting will be ●●●●●. The Special</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Meeting will be held at 10:30 a.m., ET on ●●●, 2022 virtually at:</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 INSERT MEETING INFORMATION</w:t>
      </w:r>
    </w:p>
    <w:p>
      <w:pPr>
        <w:spacing w:after="0" w:line="221" w:lineRule="exact"/>
        <w:rPr>
          <w:sz w:val="20"/>
          <w:szCs w:val="20"/>
          <w:color w:val="auto"/>
        </w:rPr>
      </w:pPr>
    </w:p>
    <w:p>
      <w:pPr>
        <w:jc w:val="both"/>
        <w:ind w:firstLine="360"/>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 xml:space="preserve">Voting Power; Record Date. </w:t>
      </w:r>
      <w:r>
        <w:rPr>
          <w:rFonts w:ascii="Times New Roman" w:cs="Times New Roman" w:eastAsia="Times New Roman" w:hAnsi="Times New Roman"/>
          <w:sz w:val="18"/>
          <w:szCs w:val="18"/>
          <w:color w:val="auto"/>
        </w:rPr>
        <w:t>You will be entitled to vote or direct votes to be cast at the Special Meeting, if you owned Public Shares at the close of</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business on [●], 2022, the Record Date for the Special Meeting. At the close of business on the Record Date, there were 34,429,500 shares of Common Stock outstanding each of which entitles its holder to cast one vote on the proposal. This includes 28,750,000 shares of Class A common stock, par value $0.0001 per share, and 9,487,500 shares of Class B common stock, par value $0.0001 per share.</w:t>
      </w:r>
    </w:p>
    <w:p>
      <w:pPr>
        <w:spacing w:after="0" w:line="176" w:lineRule="exact"/>
        <w:rPr>
          <w:sz w:val="20"/>
          <w:szCs w:val="20"/>
          <w:color w:val="auto"/>
        </w:rPr>
      </w:pPr>
    </w:p>
    <w:p>
      <w:pPr>
        <w:jc w:val="both"/>
        <w:ind w:firstLine="360"/>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 xml:space="preserve">Proxies; Board Solicitation. </w:t>
      </w:r>
      <w:r>
        <w:rPr>
          <w:rFonts w:ascii="Times New Roman" w:cs="Times New Roman" w:eastAsia="Times New Roman" w:hAnsi="Times New Roman"/>
          <w:sz w:val="18"/>
          <w:szCs w:val="18"/>
          <w:color w:val="auto"/>
        </w:rPr>
        <w:t>Your proxy is being solicited by the Board on the proposals being presented to stockholders at the Special Meeting. No</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recommendation is being made as to whether you should elect to redeem your shares. Proxies may be solicited in person or by telephone. If you grant a proxy, you may still revoke your proxy and vote your shares in person at the Special Meeting. [Proxy Agent] is assisting the Company in the proxy solicitation process for this Special Meeting. The Company will pay that firm approximately $7,500 in fees, plus disbursements for such services.</w:t>
      </w:r>
    </w:p>
    <w:p>
      <w:pPr>
        <w:spacing w:after="0" w:line="176"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b w:val="1"/>
          <w:bCs w:val="1"/>
          <w:color w:val="auto"/>
        </w:rPr>
        <w:t>Required Votes</w:t>
      </w:r>
    </w:p>
    <w:p>
      <w:pPr>
        <w:spacing w:after="0" w:line="225" w:lineRule="exact"/>
        <w:rPr>
          <w:sz w:val="20"/>
          <w:szCs w:val="20"/>
          <w:color w:val="auto"/>
        </w:rPr>
      </w:pPr>
    </w:p>
    <w:p>
      <w:pPr>
        <w:jc w:val="both"/>
        <w:ind w:left="380" w:right="20"/>
        <w:spacing w:after="0" w:line="268" w:lineRule="auto"/>
        <w:rPr>
          <w:sz w:val="20"/>
          <w:szCs w:val="20"/>
          <w:color w:val="auto"/>
        </w:rPr>
      </w:pPr>
      <w:r>
        <w:rPr>
          <w:rFonts w:ascii="Times New Roman" w:cs="Times New Roman" w:eastAsia="Times New Roman" w:hAnsi="Times New Roman"/>
          <w:sz w:val="18"/>
          <w:szCs w:val="18"/>
          <w:b w:val="1"/>
          <w:bCs w:val="1"/>
          <w:color w:val="auto"/>
        </w:rPr>
        <w:t>Charter Amendment Proposal</w:t>
      </w:r>
      <w:r>
        <w:rPr>
          <w:rFonts w:ascii="Times New Roman" w:cs="Times New Roman" w:eastAsia="Times New Roman" w:hAnsi="Times New Roman"/>
          <w:sz w:val="18"/>
          <w:szCs w:val="18"/>
          <w:color w:val="auto"/>
        </w:rPr>
        <w:t>. The Extension Proposal must be approved by the affirmative vote of more than 65% of the holders of Common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Stock who, being present in person (including virtually) or represented by proxy and entitled to vote at the Special Meeting, vote at the Special Meeting.</w:t>
      </w:r>
    </w:p>
    <w:p>
      <w:pPr>
        <w:spacing w:after="0" w:line="171" w:lineRule="exact"/>
        <w:rPr>
          <w:sz w:val="20"/>
          <w:szCs w:val="20"/>
          <w:color w:val="auto"/>
        </w:rPr>
      </w:pPr>
    </w:p>
    <w:p>
      <w:pPr>
        <w:jc w:val="both"/>
        <w:ind w:left="380"/>
        <w:spacing w:after="0" w:line="286" w:lineRule="auto"/>
        <w:rPr>
          <w:sz w:val="20"/>
          <w:szCs w:val="20"/>
          <w:color w:val="auto"/>
        </w:rPr>
      </w:pPr>
      <w:r>
        <w:rPr>
          <w:rFonts w:ascii="Times New Roman" w:cs="Times New Roman" w:eastAsia="Times New Roman" w:hAnsi="Times New Roman"/>
          <w:sz w:val="18"/>
          <w:szCs w:val="18"/>
          <w:b w:val="1"/>
          <w:bCs w:val="1"/>
          <w:color w:val="auto"/>
        </w:rPr>
        <w:t>Trust Amendment Proposal</w:t>
      </w:r>
      <w:r>
        <w:rPr>
          <w:rFonts w:ascii="Times New Roman" w:cs="Times New Roman" w:eastAsia="Times New Roman" w:hAnsi="Times New Roman"/>
          <w:sz w:val="18"/>
          <w:szCs w:val="18"/>
          <w:color w:val="auto"/>
        </w:rPr>
        <w:t>. The Extension Proposal must be approved by the affirmative vote of more than 65% of the holders of Common Stock</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who, being present in person (including virtually) or represented by proxy and entitled to vote at the Special Meeting, vote at the Special Meeting.</w:t>
      </w:r>
    </w:p>
    <w:p>
      <w:pPr>
        <w:spacing w:after="0" w:line="155" w:lineRule="exact"/>
        <w:rPr>
          <w:sz w:val="20"/>
          <w:szCs w:val="20"/>
          <w:color w:val="auto"/>
        </w:rPr>
      </w:pPr>
    </w:p>
    <w:p>
      <w:pPr>
        <w:jc w:val="both"/>
        <w:ind w:left="380"/>
        <w:spacing w:after="0" w:line="286" w:lineRule="auto"/>
        <w:rPr>
          <w:sz w:val="20"/>
          <w:szCs w:val="20"/>
          <w:color w:val="auto"/>
        </w:rPr>
      </w:pPr>
      <w:r>
        <w:rPr>
          <w:rFonts w:ascii="Times New Roman" w:cs="Times New Roman" w:eastAsia="Times New Roman" w:hAnsi="Times New Roman"/>
          <w:sz w:val="18"/>
          <w:szCs w:val="18"/>
          <w:b w:val="1"/>
          <w:bCs w:val="1"/>
          <w:color w:val="auto"/>
        </w:rPr>
        <w:t>Adjournment Proposal</w:t>
      </w:r>
      <w:r>
        <w:rPr>
          <w:rFonts w:ascii="Times New Roman" w:cs="Times New Roman" w:eastAsia="Times New Roman" w:hAnsi="Times New Roman"/>
          <w:sz w:val="18"/>
          <w:szCs w:val="18"/>
          <w:color w:val="auto"/>
        </w:rPr>
        <w:t>. The Extension Proposal must be approved by the affirmative vote of a majority of the holders of Common Stock who, being</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present in person (including virtually) or represented by proxy and entitled to vote at the Special Meeting, vote at the Special Meeting.</w:t>
      </w:r>
    </w:p>
    <w:p>
      <w:pPr>
        <w:spacing w:after="0" w:line="15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Abstentions and broker non-votes, while considered present for the purposes of establishing a quorum, are not treated as votes cast and will have no effect on the proposals. As a result, if you abstain from voting on any of the proposals, your shares will be counted as present for purposes of establishing a quorum (if so present in accordance with the terms of our Charter), but the abstention will have no effect on the outcome of such proposal.</w:t>
      </w:r>
    </w:p>
    <w:p>
      <w:pPr>
        <w:spacing w:after="0" w:line="176" w:lineRule="exact"/>
        <w:rPr>
          <w:sz w:val="20"/>
          <w:szCs w:val="20"/>
          <w:color w:val="auto"/>
        </w:rPr>
      </w:pPr>
    </w:p>
    <w:p>
      <w:pPr>
        <w:jc w:val="both"/>
        <w:ind w:right="20"/>
        <w:spacing w:after="0" w:line="258" w:lineRule="auto"/>
        <w:rPr>
          <w:sz w:val="20"/>
          <w:szCs w:val="20"/>
          <w:color w:val="auto"/>
        </w:rPr>
      </w:pPr>
      <w:r>
        <w:rPr>
          <w:rFonts w:ascii="Times New Roman" w:cs="Times New Roman" w:eastAsia="Times New Roman" w:hAnsi="Times New Roman"/>
          <w:sz w:val="18"/>
          <w:szCs w:val="18"/>
          <w:color w:val="auto"/>
        </w:rPr>
        <w:t>If you do not want to approve the Charter Amendment Proposal, the Trust Amendment Proposal or the Adjournment Proposal, you must vote against each proposal. The approval of the Charter Amendment Proposal and the Trust Amendment Proposal are essential to the implementation of our board’s plan to extend the date by which we must consummate our initial business combination. Therefore, our board will abandon and not implement the Charter Amendment Proposal unless our stockholders approve both the Charter Amendment Proposal and the Trust Amendment Proposal. This means that if one proposal is approved by the stockholders and the other proposal is not, neither proposal will take effect.</w:t>
      </w:r>
    </w:p>
    <w:p>
      <w:pPr>
        <w:spacing w:after="0" w:line="18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Sponsor, the Representative and all of the Company’s directors, executive officers, initial stockholders and their affiliates are expected to vote any Common Stock owned by them in favor of the Charter Amendment Proposal and the Trust Amendment Proposal. On the Record Date, our initial stockholders beneficially owned and were entitled to vote 10,385,750 shares of Common Stock, which includes 9,487,500 shares of Class B common stock and 898,250 shares of Class A common stock from the private placement, representing approximately 26.6% of the Company’s issued and outstanding shares of Common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419735</wp:posOffset>
            </wp:positionV>
            <wp:extent cx="7132320" cy="825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41" w:name="page42"/>
    <w:bookmarkEnd w:id="41"/>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STOCKHOLDER PROPOSALS</w:t>
      </w:r>
    </w:p>
    <w:p>
      <w:pPr>
        <w:spacing w:after="0" w:line="229" w:lineRule="exact"/>
        <w:rPr>
          <w:sz w:val="20"/>
          <w:szCs w:val="20"/>
          <w:color w:val="auto"/>
        </w:rPr>
      </w:pPr>
    </w:p>
    <w:p>
      <w:pPr>
        <w:jc w:val="both"/>
        <w:ind w:firstLine="360"/>
        <w:spacing w:after="0" w:line="261" w:lineRule="auto"/>
        <w:rPr>
          <w:sz w:val="20"/>
          <w:szCs w:val="20"/>
          <w:color w:val="auto"/>
        </w:rPr>
      </w:pPr>
      <w:r>
        <w:rPr>
          <w:rFonts w:ascii="Times New Roman" w:cs="Times New Roman" w:eastAsia="Times New Roman" w:hAnsi="Times New Roman"/>
          <w:sz w:val="18"/>
          <w:szCs w:val="18"/>
          <w:color w:val="auto"/>
        </w:rPr>
        <w:t>If the Charter Amendment Proposal and the Trust Amendment Proposal are approved, the Extension Amendment is effective, the Trust Amendment is executed and the Initial Business Combination is consummated, we expect that the post-Initial Business Combination Company will hold its 2023 annual meeting of stockholders in 2023. The date of such meeting and the date by which you may submit a proposal for inclusion in the proxy statement will be included in a Current Report on Form 8-K or a Quarterly Report on Form 10-Q.</w:t>
      </w:r>
    </w:p>
    <w:p>
      <w:pPr>
        <w:spacing w:after="0" w:line="180" w:lineRule="exact"/>
        <w:rPr>
          <w:sz w:val="20"/>
          <w:szCs w:val="20"/>
          <w:color w:val="auto"/>
        </w:rPr>
      </w:pPr>
    </w:p>
    <w:p>
      <w:pPr>
        <w:jc w:val="both"/>
        <w:ind w:right="20" w:firstLine="360"/>
        <w:spacing w:after="0" w:line="282" w:lineRule="auto"/>
        <w:rPr>
          <w:sz w:val="20"/>
          <w:szCs w:val="20"/>
          <w:color w:val="auto"/>
        </w:rPr>
      </w:pPr>
      <w:r>
        <w:rPr>
          <w:rFonts w:ascii="Times New Roman" w:cs="Times New Roman" w:eastAsia="Times New Roman" w:hAnsi="Times New Roman"/>
          <w:sz w:val="18"/>
          <w:szCs w:val="18"/>
          <w:color w:val="auto"/>
        </w:rPr>
        <w:t>If the Charter Amendment Proposal and the Trust Amendment Proposal are not approved and the Initial Business Combination is not consummated, there will be no further annual meetings of the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405765</wp:posOffset>
            </wp:positionV>
            <wp:extent cx="7132320" cy="88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42" w:name="page43"/>
    <w:bookmarkEnd w:id="42"/>
    <w:p>
      <w:pPr>
        <w:jc w:val="center"/>
        <w:spacing w:after="0"/>
        <w:rPr>
          <w:sz w:val="20"/>
          <w:szCs w:val="20"/>
          <w:color w:val="auto"/>
        </w:rPr>
      </w:pPr>
      <w:r>
        <w:rPr>
          <w:rFonts w:ascii="Times New Roman" w:cs="Times New Roman" w:eastAsia="Times New Roman" w:hAnsi="Times New Roman"/>
          <w:sz w:val="18"/>
          <w:szCs w:val="18"/>
          <w:b w:val="1"/>
          <w:bCs w:val="1"/>
          <w:color w:val="auto"/>
        </w:rPr>
        <w:t>DELIVERY OF DOCUMENTS TO STOCKHOLDERS</w:t>
      </w:r>
    </w:p>
    <w:p>
      <w:pPr>
        <w:spacing w:after="0" w:line="229" w:lineRule="exact"/>
        <w:rPr>
          <w:sz w:val="20"/>
          <w:szCs w:val="20"/>
          <w:color w:val="auto"/>
        </w:rPr>
      </w:pPr>
    </w:p>
    <w:p>
      <w:pPr>
        <w:jc w:val="both"/>
        <w:ind w:firstLine="360"/>
        <w:spacing w:after="0" w:line="258" w:lineRule="auto"/>
        <w:rPr>
          <w:sz w:val="20"/>
          <w:szCs w:val="20"/>
          <w:color w:val="auto"/>
        </w:rPr>
      </w:pPr>
      <w:r>
        <w:rPr>
          <w:rFonts w:ascii="Times New Roman" w:cs="Times New Roman" w:eastAsia="Times New Roman" w:hAnsi="Times New Roman"/>
          <w:sz w:val="18"/>
          <w:szCs w:val="18"/>
          <w:color w:val="auto"/>
        </w:rPr>
        <w:t>Pursuant to the rules of the SEC, the Company and its agents that deliver communications to its stockholders are permitted to deliver to two or more stockholders sharing the same address a single copy of the Company’s proxy statement. Upon written or oral request, the Company will deliver a separate copy of the proxy statement to any stockholder at a shared address who wishes to receive separate copies of such documents in the future. Stockholders receiving multiple copies of such documents may likewise request that the Company deliver single copies of such documents in the future. stockholders may notify the Company of their requests by calling or writing the Company’s proxy solicitation agent at :</w:t>
      </w:r>
    </w:p>
    <w:p>
      <w:pPr>
        <w:spacing w:after="0" w:line="183" w:lineRule="exact"/>
        <w:rPr>
          <w:sz w:val="20"/>
          <w:szCs w:val="20"/>
          <w:color w:val="auto"/>
        </w:rPr>
      </w:pPr>
    </w:p>
    <w:p>
      <w:pPr>
        <w:ind w:left="5100"/>
        <w:spacing w:after="0"/>
        <w:rPr>
          <w:sz w:val="20"/>
          <w:szCs w:val="20"/>
          <w:color w:val="auto"/>
        </w:rPr>
      </w:pPr>
      <w:r>
        <w:rPr>
          <w:rFonts w:ascii="Times New Roman" w:cs="Times New Roman" w:eastAsia="Times New Roman" w:hAnsi="Times New Roman"/>
          <w:sz w:val="18"/>
          <w:szCs w:val="18"/>
          <w:color w:val="auto"/>
        </w:rPr>
        <w:t>[Proxy Agent]</w:t>
      </w:r>
    </w:p>
    <w:p>
      <w:pPr>
        <w:spacing w:after="0" w:line="27" w:lineRule="exact"/>
        <w:rPr>
          <w:sz w:val="20"/>
          <w:szCs w:val="20"/>
          <w:color w:val="auto"/>
        </w:rPr>
      </w:pPr>
    </w:p>
    <w:p>
      <w:pPr>
        <w:ind w:left="5520"/>
        <w:spacing w:after="0"/>
        <w:rPr>
          <w:sz w:val="20"/>
          <w:szCs w:val="20"/>
          <w:color w:val="auto"/>
        </w:rPr>
      </w:pPr>
      <w:r>
        <w:rPr>
          <w:rFonts w:ascii="Times New Roman" w:cs="Times New Roman" w:eastAsia="Times New Roman" w:hAnsi="Times New Roman"/>
          <w:sz w:val="18"/>
          <w:szCs w:val="18"/>
          <w:color w:val="auto"/>
        </w:rPr>
        <w:t>[*]</w:t>
      </w:r>
    </w:p>
    <w:p>
      <w:pPr>
        <w:spacing w:after="0" w:line="9" w:lineRule="exact"/>
        <w:rPr>
          <w:sz w:val="20"/>
          <w:szCs w:val="20"/>
          <w:color w:val="auto"/>
        </w:rPr>
      </w:pPr>
    </w:p>
    <w:p>
      <w:pPr>
        <w:ind w:left="5140"/>
        <w:spacing w:after="0"/>
        <w:rPr>
          <w:sz w:val="20"/>
          <w:szCs w:val="20"/>
          <w:color w:val="auto"/>
        </w:rPr>
      </w:pPr>
      <w:r>
        <w:rPr>
          <w:rFonts w:ascii="Times New Roman" w:cs="Times New Roman" w:eastAsia="Times New Roman" w:hAnsi="Times New Roman"/>
          <w:sz w:val="18"/>
          <w:szCs w:val="18"/>
          <w:color w:val="auto"/>
        </w:rPr>
        <w:t>Toll Free: [*]</w:t>
      </w:r>
    </w:p>
    <w:p>
      <w:pPr>
        <w:spacing w:after="0" w:line="9" w:lineRule="exact"/>
        <w:rPr>
          <w:sz w:val="20"/>
          <w:szCs w:val="20"/>
          <w:color w:val="auto"/>
        </w:rPr>
      </w:pPr>
    </w:p>
    <w:p>
      <w:pPr>
        <w:ind w:left="5220"/>
        <w:spacing w:after="0"/>
        <w:rPr>
          <w:sz w:val="20"/>
          <w:szCs w:val="20"/>
          <w:color w:val="auto"/>
        </w:rPr>
      </w:pPr>
      <w:r>
        <w:rPr>
          <w:rFonts w:ascii="Times New Roman" w:cs="Times New Roman" w:eastAsia="Times New Roman" w:hAnsi="Times New Roman"/>
          <w:sz w:val="18"/>
          <w:szCs w:val="18"/>
          <w:color w:val="auto"/>
        </w:rPr>
        <w:t>Collect: [*]</w:t>
      </w:r>
    </w:p>
    <w:p>
      <w:pPr>
        <w:spacing w:after="0" w:line="9"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Email: [*]</w:t>
      </w: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OTHER INFORMATION</w:t>
      </w:r>
    </w:p>
    <w:p>
      <w:pPr>
        <w:spacing w:after="0" w:line="229" w:lineRule="exact"/>
        <w:rPr>
          <w:sz w:val="20"/>
          <w:szCs w:val="20"/>
          <w:color w:val="auto"/>
        </w:rPr>
      </w:pPr>
    </w:p>
    <w:p>
      <w:pPr>
        <w:jc w:val="both"/>
        <w:ind w:right="20" w:firstLine="360"/>
        <w:spacing w:after="0" w:line="282" w:lineRule="auto"/>
        <w:rPr>
          <w:sz w:val="20"/>
          <w:szCs w:val="20"/>
          <w:color w:val="auto"/>
        </w:rPr>
      </w:pPr>
      <w:r>
        <w:rPr>
          <w:rFonts w:ascii="Times New Roman" w:cs="Times New Roman" w:eastAsia="Times New Roman" w:hAnsi="Times New Roman"/>
          <w:sz w:val="18"/>
          <w:szCs w:val="18"/>
          <w:color w:val="auto"/>
        </w:rPr>
        <w:t>The Company’s 2021 Annual Report on Form 10-K, excluding exhibits, will be mailed without charge to any shareholder entitled to vote at the meeting, upon written request to Secretary, BurTech Acquisition Corp. at [*].</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Other Matters to Be Presented at the Special Meeting</w:t>
      </w:r>
    </w:p>
    <w:p>
      <w:pPr>
        <w:spacing w:after="0" w:line="229" w:lineRule="exact"/>
        <w:rPr>
          <w:sz w:val="20"/>
          <w:szCs w:val="20"/>
          <w:color w:val="auto"/>
        </w:rPr>
      </w:pPr>
    </w:p>
    <w:p>
      <w:pPr>
        <w:jc w:val="both"/>
        <w:ind w:firstLine="360"/>
        <w:spacing w:after="0" w:line="282" w:lineRule="auto"/>
        <w:rPr>
          <w:sz w:val="20"/>
          <w:szCs w:val="20"/>
          <w:color w:val="auto"/>
        </w:rPr>
      </w:pPr>
      <w:r>
        <w:rPr>
          <w:rFonts w:ascii="Times New Roman" w:cs="Times New Roman" w:eastAsia="Times New Roman" w:hAnsi="Times New Roman"/>
          <w:sz w:val="18"/>
          <w:szCs w:val="18"/>
          <w:color w:val="auto"/>
        </w:rPr>
        <w:t>The Company did not have notice of any matter to be presented for action at the Special Meeting, except as discussed in this proxy statement. The persons authorized by the accompanying form of proxy will vote in their discretion as to any other matter that comes before the Special Meeting.</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WHERE YOU CAN FIND MORE INFORMATION</w:t>
      </w:r>
    </w:p>
    <w:p>
      <w:pPr>
        <w:spacing w:after="0" w:line="229"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The Company files annual, quarterly and current reports, proxy statements and other information with the SEC. The SEC maintains an Internet web site that contains reports, proxy and information statements, and other information regarding issuers, including us, that file electronically with the SEC. The public can obtain any documents that we file electronically with the SEC at www.sec.gov.</w:t>
      </w:r>
    </w:p>
    <w:p>
      <w:pPr>
        <w:spacing w:after="0" w:line="176"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This Proxy Statement describes the material elements of relevant contracts, exhibits and other information attached as annexes to this Proxy Statement. Information and statements contained in this Proxy Statement are qualified in all respects by reference to the copy of the relevant contract or other document included as an annex to this document.</w:t>
      </w:r>
    </w:p>
    <w:p>
      <w:pPr>
        <w:spacing w:after="0" w:line="176" w:lineRule="exact"/>
        <w:rPr>
          <w:sz w:val="20"/>
          <w:szCs w:val="20"/>
          <w:color w:val="auto"/>
        </w:rPr>
      </w:pPr>
    </w:p>
    <w:p>
      <w:pPr>
        <w:jc w:val="both"/>
        <w:ind w:right="20" w:firstLine="324"/>
        <w:spacing w:after="0" w:line="282" w:lineRule="auto"/>
        <w:rPr>
          <w:sz w:val="20"/>
          <w:szCs w:val="20"/>
          <w:color w:val="auto"/>
        </w:rPr>
      </w:pPr>
      <w:r>
        <w:rPr>
          <w:rFonts w:ascii="Times New Roman" w:cs="Times New Roman" w:eastAsia="Times New Roman" w:hAnsi="Times New Roman"/>
          <w:sz w:val="18"/>
          <w:szCs w:val="18"/>
          <w:color w:val="auto"/>
        </w:rPr>
        <w:t>You may obtain additional copies of this Proxy Statement, at no cost, and you may ask any questions you may have about the Charter Amendment Proposal or the Adjournment by contacting us at the following address or telephone number:</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BurTech Acquisition Corp.</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1300 Pennsylvania Ave NW, Suite 700</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Washington, DC 20004</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(202) 600-5757</w:t>
      </w:r>
    </w:p>
    <w:p>
      <w:pPr>
        <w:spacing w:after="0" w:line="207"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You may also obtain these documents at no cost by requesting them in writing or by telephone from the Company’s proxy solicitation agent at the following address and telephone number:</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PROXY CO CONTACT INFORMATION</w:t>
      </w:r>
    </w:p>
    <w:p>
      <w:pPr>
        <w:spacing w:after="0" w:line="225"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In order to receive timely delivery of the documents in advance of the Special Meeting, you must make your request for information no later than [●],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405765</wp:posOffset>
            </wp:positionV>
            <wp:extent cx="7132320" cy="88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43" w:name="page44"/>
    <w:bookmarkEnd w:id="43"/>
    <w:p>
      <w:pPr>
        <w:jc w:val="center"/>
        <w:spacing w:after="0"/>
        <w:rPr>
          <w:sz w:val="20"/>
          <w:szCs w:val="20"/>
          <w:color w:val="auto"/>
        </w:rPr>
      </w:pPr>
      <w:r>
        <w:rPr>
          <w:rFonts w:ascii="Times New Roman" w:cs="Times New Roman" w:eastAsia="Times New Roman" w:hAnsi="Times New Roman"/>
          <w:sz w:val="18"/>
          <w:szCs w:val="18"/>
          <w:b w:val="1"/>
          <w:bCs w:val="1"/>
          <w:color w:val="auto"/>
        </w:rPr>
        <w:t>Annex A</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Charter Amendment</w:t>
      </w: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AMENDMENT TO THE</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AMENDED AND RESTATED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CERTIFICATE OF INCORPORATION OF</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BURTECH ACQUISITION CORP.</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2022</w:t>
      </w:r>
    </w:p>
    <w:p>
      <w:pPr>
        <w:spacing w:after="0" w:line="221" w:lineRule="exact"/>
        <w:rPr>
          <w:sz w:val="20"/>
          <w:szCs w:val="20"/>
          <w:color w:val="auto"/>
        </w:rPr>
      </w:pPr>
    </w:p>
    <w:p>
      <w:pPr>
        <w:spacing w:after="0" w:line="286" w:lineRule="auto"/>
        <w:rPr>
          <w:sz w:val="20"/>
          <w:szCs w:val="20"/>
          <w:color w:val="auto"/>
        </w:rPr>
      </w:pPr>
      <w:r>
        <w:rPr>
          <w:rFonts w:ascii="Times New Roman" w:cs="Times New Roman" w:eastAsia="Times New Roman" w:hAnsi="Times New Roman"/>
          <w:sz w:val="18"/>
          <w:szCs w:val="18"/>
          <w:color w:val="auto"/>
        </w:rPr>
        <w:t>BurTech Acquisition Corp., a corporation organized and existing under the laws of the State of Delaware (the “</w:t>
      </w:r>
      <w:r>
        <w:rPr>
          <w:rFonts w:ascii="Times New Roman" w:cs="Times New Roman" w:eastAsia="Times New Roman" w:hAnsi="Times New Roman"/>
          <w:sz w:val="18"/>
          <w:szCs w:val="18"/>
          <w:b w:val="1"/>
          <w:bCs w:val="1"/>
          <w:u w:val="single" w:color="auto"/>
          <w:color w:val="auto"/>
        </w:rPr>
        <w:t>Corporation</w:t>
      </w:r>
      <w:r>
        <w:rPr>
          <w:rFonts w:ascii="Times New Roman" w:cs="Times New Roman" w:eastAsia="Times New Roman" w:hAnsi="Times New Roman"/>
          <w:sz w:val="18"/>
          <w:szCs w:val="18"/>
          <w:color w:val="auto"/>
        </w:rPr>
        <w:t>”), DOES HEREBY CERTIFY AS FOLLOWS:</w:t>
      </w:r>
    </w:p>
    <w:p>
      <w:pPr>
        <w:spacing w:after="0" w:line="159" w:lineRule="exact"/>
        <w:rPr>
          <w:sz w:val="20"/>
          <w:szCs w:val="20"/>
          <w:color w:val="auto"/>
        </w:rPr>
      </w:pPr>
    </w:p>
    <w:p>
      <w:pPr>
        <w:jc w:val="both"/>
        <w:ind w:left="660" w:hanging="4"/>
        <w:spacing w:after="0" w:line="261" w:lineRule="auto"/>
        <w:tabs>
          <w:tab w:leader="none" w:pos="859" w:val="left"/>
        </w:tabs>
        <w:numPr>
          <w:ilvl w:val="1"/>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name of the Corporation is “BurTech Acquisition Corp.” The original certificate of incorporation of the Corporation was filed with the Secretary of State of the State of Delaware on March 02, 2021. The Amended and Restated Certificate of Incorporation of the Corporation was filed with the Secretary of State of Delaware on May 19, 2021. The Second Amended and Restated Certificate of Incorporation of the Corporation was filed with the Secretary of State of Delaware on December 13, 2021 (the “</w:t>
      </w:r>
      <w:r>
        <w:rPr>
          <w:rFonts w:ascii="Times New Roman" w:cs="Times New Roman" w:eastAsia="Times New Roman" w:hAnsi="Times New Roman"/>
          <w:sz w:val="18"/>
          <w:szCs w:val="18"/>
          <w:b w:val="1"/>
          <w:bCs w:val="1"/>
          <w:u w:val="single" w:color="auto"/>
          <w:color w:val="auto"/>
        </w:rPr>
        <w:t>Second Amended and Restated Certificate</w:t>
      </w:r>
      <w:r>
        <w:rPr>
          <w:rFonts w:ascii="Times New Roman" w:cs="Times New Roman" w:eastAsia="Times New Roman" w:hAnsi="Times New Roman"/>
          <w:sz w:val="18"/>
          <w:szCs w:val="18"/>
          <w:color w:val="auto"/>
        </w:rPr>
        <w:t>”).</w:t>
      </w:r>
    </w:p>
    <w:p>
      <w:pPr>
        <w:spacing w:after="0" w:line="179" w:lineRule="exact"/>
        <w:rPr>
          <w:rFonts w:ascii="Times New Roman" w:cs="Times New Roman" w:eastAsia="Times New Roman" w:hAnsi="Times New Roman"/>
          <w:sz w:val="18"/>
          <w:szCs w:val="18"/>
          <w:color w:val="auto"/>
        </w:rPr>
      </w:pPr>
    </w:p>
    <w:p>
      <w:pPr>
        <w:ind w:left="180" w:hanging="172"/>
        <w:spacing w:after="0"/>
        <w:tabs>
          <w:tab w:leader="none" w:pos="180" w:val="left"/>
        </w:tabs>
        <w:numPr>
          <w:ilvl w:val="0"/>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Amendment to the Second Amended and Restated Certificate amends the Second Amended and Restated Certificate.</w:t>
      </w:r>
    </w:p>
    <w:p>
      <w:pPr>
        <w:spacing w:after="0" w:line="225" w:lineRule="exact"/>
        <w:rPr>
          <w:rFonts w:ascii="Times New Roman" w:cs="Times New Roman" w:eastAsia="Times New Roman" w:hAnsi="Times New Roman"/>
          <w:sz w:val="18"/>
          <w:szCs w:val="18"/>
          <w:color w:val="auto"/>
        </w:rPr>
      </w:pPr>
    </w:p>
    <w:p>
      <w:pPr>
        <w:ind w:firstLine="8"/>
        <w:spacing w:after="0" w:line="282" w:lineRule="auto"/>
        <w:tabs>
          <w:tab w:leader="none" w:pos="187" w:val="left"/>
        </w:tabs>
        <w:numPr>
          <w:ilvl w:val="0"/>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Amendment to the Second Amended and Restated Certificate was duly adopted by the Board of Directors of the Corporation and the stockholders of the Corporation in accordance with Section 242 of the General Corporation Law of the State of Delaware.</w:t>
      </w:r>
    </w:p>
    <w:p>
      <w:pPr>
        <w:spacing w:after="0" w:line="161" w:lineRule="exact"/>
        <w:rPr>
          <w:rFonts w:ascii="Times New Roman" w:cs="Times New Roman" w:eastAsia="Times New Roman" w:hAnsi="Times New Roman"/>
          <w:sz w:val="18"/>
          <w:szCs w:val="18"/>
          <w:color w:val="auto"/>
        </w:rPr>
      </w:pPr>
    </w:p>
    <w:p>
      <w:pPr>
        <w:ind w:left="180" w:hanging="172"/>
        <w:spacing w:after="0"/>
        <w:tabs>
          <w:tab w:leader="none" w:pos="180" w:val="left"/>
        </w:tabs>
        <w:numPr>
          <w:ilvl w:val="0"/>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text of Paragraph 9.1(b) of Article NINE is hereby amended and restated to read in full as follows:</w:t>
      </w:r>
    </w:p>
    <w:p>
      <w:pPr>
        <w:spacing w:after="0" w:line="225" w:lineRule="exact"/>
        <w:rPr>
          <w:sz w:val="20"/>
          <w:szCs w:val="20"/>
          <w:color w:val="auto"/>
        </w:rPr>
      </w:pPr>
    </w:p>
    <w:p>
      <w:pPr>
        <w:jc w:val="both"/>
        <w:ind w:firstLine="648"/>
        <w:spacing w:after="0" w:line="251" w:lineRule="auto"/>
        <w:rPr>
          <w:sz w:val="20"/>
          <w:szCs w:val="20"/>
          <w:color w:val="auto"/>
        </w:rPr>
      </w:pPr>
      <w:r>
        <w:rPr>
          <w:rFonts w:ascii="Times New Roman" w:cs="Times New Roman" w:eastAsia="Times New Roman" w:hAnsi="Times New Roman"/>
          <w:sz w:val="18"/>
          <w:szCs w:val="18"/>
          <w:color w:val="auto"/>
        </w:rPr>
        <w:t>“9.1 (b). Immediately after the Offering, a certain amount of the net offering proceeds received by the Corporation in the Offering (including the proceeds of any exercise of the underwriters’ over-allotment option) and certain other amounts specified in the Corporation’s registration statement on Form S-1, as initially filed with the U.S. Securities and Exchange Commission (the “</w:t>
      </w:r>
      <w:r>
        <w:rPr>
          <w:rFonts w:ascii="Times New Roman" w:cs="Times New Roman" w:eastAsia="Times New Roman" w:hAnsi="Times New Roman"/>
          <w:sz w:val="18"/>
          <w:szCs w:val="18"/>
          <w:b w:val="1"/>
          <w:bCs w:val="1"/>
          <w:color w:val="auto"/>
        </w:rPr>
        <w:t>SEC</w:t>
      </w:r>
      <w:r>
        <w:rPr>
          <w:rFonts w:ascii="Times New Roman" w:cs="Times New Roman" w:eastAsia="Times New Roman" w:hAnsi="Times New Roman"/>
          <w:sz w:val="18"/>
          <w:szCs w:val="18"/>
          <w:color w:val="auto"/>
        </w:rPr>
        <w:t>”) on August 19, 2021, as amended (the “</w:t>
      </w:r>
      <w:r>
        <w:rPr>
          <w:rFonts w:ascii="Times New Roman" w:cs="Times New Roman" w:eastAsia="Times New Roman" w:hAnsi="Times New Roman"/>
          <w:sz w:val="18"/>
          <w:szCs w:val="18"/>
          <w:b w:val="1"/>
          <w:bCs w:val="1"/>
          <w:color w:val="auto"/>
        </w:rPr>
        <w:t>Registration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Statement</w:t>
      </w:r>
      <w:r>
        <w:rPr>
          <w:rFonts w:ascii="Times New Roman" w:cs="Times New Roman" w:eastAsia="Times New Roman" w:hAnsi="Times New Roman"/>
          <w:sz w:val="18"/>
          <w:szCs w:val="18"/>
          <w:color w:val="auto"/>
        </w:rPr>
        <w:t>”), shall be deposited in a trust account (the “Trust Account”), established for the benefit of the Public Stockholders (as defined below) pursuant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to a trust agreement described in the Registration Statement (the “Trust Agreement”). Except for the withdrawal of interest to pay taxes (less up to $100,000 interest to pay dissolution expenses), none of the funds held in the Trust Account (including the interest earned on the funds held in the Trust Account) will be released from the Trust Account until the earliest to occur of (i) the completion of the initial Business Combination; (ii) the redemption of 100% of the Offering Shares (as defined below) if the Corporation is unable to complete its initial Business Combination within 15 months from the closing of the Offering (or, if the Office of the Delaware Division of Corporations shall not be open for business (including filing of corporate documents) on such date the next date upon which the Office of the Delaware Division of Corporations shall be open (or such a later date pursuant to the extension set forth under Section 9.1 (c) the “</w:t>
      </w:r>
      <w:r>
        <w:rPr>
          <w:rFonts w:ascii="Times New Roman" w:cs="Times New Roman" w:eastAsia="Times New Roman" w:hAnsi="Times New Roman"/>
          <w:sz w:val="18"/>
          <w:szCs w:val="18"/>
          <w:b w:val="1"/>
          <w:bCs w:val="1"/>
          <w:color w:val="auto"/>
        </w:rPr>
        <w:t>Deadline Date</w:t>
      </w:r>
      <w:r>
        <w:rPr>
          <w:rFonts w:ascii="Times New Roman" w:cs="Times New Roman" w:eastAsia="Times New Roman" w:hAnsi="Times New Roman"/>
          <w:sz w:val="18"/>
          <w:szCs w:val="18"/>
          <w:color w:val="auto"/>
        </w:rPr>
        <w:t>”) unless the Company extends the time to complete the Business Combination after the Deadline Date for up to 21 months from the closing of the IPO with six (6) one-month extensions by depositing $[337,500] into the Trust Account for each one-month extension, but has not completed the Business Combination within such 21-month period, the 21st month anniversary of the Closing (as applicable, the “</w:t>
      </w:r>
      <w:r>
        <w:rPr>
          <w:rFonts w:ascii="Times New Roman" w:cs="Times New Roman" w:eastAsia="Times New Roman" w:hAnsi="Times New Roman"/>
          <w:sz w:val="18"/>
          <w:szCs w:val="18"/>
          <w:b w:val="1"/>
          <w:bCs w:val="1"/>
          <w:color w:val="auto"/>
        </w:rPr>
        <w:t>Last Date</w:t>
      </w:r>
      <w:r>
        <w:rPr>
          <w:rFonts w:ascii="Times New Roman" w:cs="Times New Roman" w:eastAsia="Times New Roman" w:hAnsi="Times New Roman"/>
          <w:sz w:val="18"/>
          <w:szCs w:val="18"/>
          <w:color w:val="auto"/>
        </w:rPr>
        <w:t>”) (for example, if during the 15th month, the Company does not deposit $[337,500] into the Trust Account by the last day of the 15th month for a one-month extension, then the Last Date shall be the last day of the 15th month); or (iii) the redemption of shares in connection with a stockholder vote to amend any provisions of this Second Amended and Restated Certificate, as amended (a) to modify the substance or timing of the Corporation’s obligation to provide for the redemption of the Offering Shares in connection with an initial Business Combination to redeem 100% of such shares if the Corporation has not consummated an initial Business Combination by the Deadline Date or (b) with respect to any other provision relating to stockholders’ rights or pre-initial Business Combination activity (as described in Section 9.7). Holders of shares of Common Stock included as part of the units sold in the Offering (the “</w:t>
      </w:r>
      <w:r>
        <w:rPr>
          <w:rFonts w:ascii="Times New Roman" w:cs="Times New Roman" w:eastAsia="Times New Roman" w:hAnsi="Times New Roman"/>
          <w:sz w:val="18"/>
          <w:szCs w:val="18"/>
          <w:b w:val="1"/>
          <w:bCs w:val="1"/>
          <w:color w:val="auto"/>
        </w:rPr>
        <w:t>Offering Shares</w:t>
      </w:r>
      <w:r>
        <w:rPr>
          <w:rFonts w:ascii="Times New Roman" w:cs="Times New Roman" w:eastAsia="Times New Roman" w:hAnsi="Times New Roman"/>
          <w:sz w:val="18"/>
          <w:szCs w:val="18"/>
          <w:color w:val="auto"/>
        </w:rPr>
        <w:t>”) (whether such Offering Shares were purchased in the Offering or in the secondary market following the Offering and whether or not such holders are the Sponsor or officers or directors of the Corporation, or affiliates of any of the foregoing) are referred to herein as “</w:t>
      </w:r>
      <w:r>
        <w:rPr>
          <w:rFonts w:ascii="Times New Roman" w:cs="Times New Roman" w:eastAsia="Times New Roman" w:hAnsi="Times New Roman"/>
          <w:sz w:val="18"/>
          <w:szCs w:val="18"/>
          <w:b w:val="1"/>
          <w:bCs w:val="1"/>
          <w:color w:val="auto"/>
        </w:rPr>
        <w:t>Public Stockholders</w:t>
      </w:r>
      <w:r>
        <w:rPr>
          <w:rFonts w:ascii="Times New Roman" w:cs="Times New Roman" w:eastAsia="Times New Roman" w:hAnsi="Times New Roman"/>
          <w:sz w:val="18"/>
          <w:szCs w:val="18"/>
          <w:color w:val="auto"/>
        </w:rPr>
        <w:t>”.</w:t>
      </w: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308610</wp:posOffset>
            </wp:positionV>
            <wp:extent cx="7132320" cy="88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44" w:name="page45"/>
    <w:bookmarkEnd w:id="44"/>
    <w:p>
      <w:pPr>
        <w:spacing w:after="0" w:line="282" w:lineRule="auto"/>
        <w:rPr>
          <w:sz w:val="20"/>
          <w:szCs w:val="20"/>
          <w:color w:val="auto"/>
        </w:rPr>
      </w:pPr>
      <w:r>
        <w:rPr>
          <w:rFonts w:ascii="Times New Roman" w:cs="Times New Roman" w:eastAsia="Times New Roman" w:hAnsi="Times New Roman"/>
          <w:sz w:val="18"/>
          <w:szCs w:val="18"/>
          <w:color w:val="auto"/>
        </w:rPr>
        <w:t>IN WITNESS WHEREOF, BurTech Acquisition Corp. has caused this Amendment to the Amended and Restated Certificate to be duly executed in its name and on its behalf by an authorized officer as of the date first set above.</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BURTECH ACQUISITION CORP.</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433705</wp:posOffset>
            </wp:positionH>
            <wp:positionV relativeFrom="paragraph">
              <wp:posOffset>17145</wp:posOffset>
            </wp:positionV>
            <wp:extent cx="3068955" cy="825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3068955" cy="8255"/>
                    </a:xfrm>
                    <a:prstGeom prst="rect">
                      <a:avLst/>
                    </a:prstGeom>
                    <a:noFill/>
                  </pic:spPr>
                </pic:pic>
              </a:graphicData>
            </a:graphic>
          </wp:anchor>
        </w:drawing>
      </w:r>
    </w:p>
    <w:p>
      <w:pPr>
        <w:spacing w:after="0" w:line="7" w:lineRule="exact"/>
        <w:rPr>
          <w:sz w:val="20"/>
          <w:szCs w:val="20"/>
          <w:color w:val="auto"/>
        </w:rPr>
      </w:pPr>
    </w:p>
    <w:p>
      <w:pPr>
        <w:spacing w:after="0"/>
        <w:tabs>
          <w:tab w:leader="none" w:pos="660" w:val="left"/>
        </w:tabs>
        <w:rPr>
          <w:sz w:val="20"/>
          <w:szCs w:val="20"/>
          <w:color w:val="auto"/>
        </w:rPr>
      </w:pPr>
      <w:r>
        <w:rPr>
          <w:rFonts w:ascii="Times New Roman" w:cs="Times New Roman" w:eastAsia="Times New Roman" w:hAnsi="Times New Roman"/>
          <w:sz w:val="18"/>
          <w:szCs w:val="18"/>
          <w:color w:val="auto"/>
        </w:rPr>
        <w:t>Name:</w:t>
        <w:tab/>
        <w:t>Shahal Khan</w:t>
      </w:r>
    </w:p>
    <w:p>
      <w:pPr>
        <w:spacing w:after="0" w:line="23" w:lineRule="exact"/>
        <w:rPr>
          <w:sz w:val="20"/>
          <w:szCs w:val="20"/>
          <w:color w:val="auto"/>
        </w:rPr>
      </w:pPr>
    </w:p>
    <w:p>
      <w:pPr>
        <w:spacing w:after="0"/>
        <w:tabs>
          <w:tab w:leader="none" w:pos="660" w:val="left"/>
        </w:tabs>
        <w:rPr>
          <w:sz w:val="20"/>
          <w:szCs w:val="20"/>
          <w:color w:val="auto"/>
        </w:rPr>
      </w:pPr>
      <w:r>
        <w:rPr>
          <w:rFonts w:ascii="Times New Roman" w:cs="Times New Roman" w:eastAsia="Times New Roman" w:hAnsi="Times New Roman"/>
          <w:sz w:val="18"/>
          <w:szCs w:val="18"/>
          <w:color w:val="auto"/>
        </w:rPr>
        <w:t>Title:</w:t>
        <w:tab/>
        <w:t>Chief Executive Officer</w:t>
      </w:r>
    </w:p>
    <w:p>
      <w:pPr>
        <w:spacing w:after="0" w:line="20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A-2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308610</wp:posOffset>
            </wp:positionV>
            <wp:extent cx="7132320" cy="825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45" w:name="page46"/>
    <w:bookmarkEnd w:id="45"/>
    <w:p>
      <w:pPr>
        <w:jc w:val="right"/>
        <w:spacing w:after="0"/>
        <w:rPr>
          <w:sz w:val="20"/>
          <w:szCs w:val="20"/>
          <w:color w:val="auto"/>
        </w:rPr>
      </w:pPr>
      <w:r>
        <w:rPr>
          <w:rFonts w:ascii="Times New Roman" w:cs="Times New Roman" w:eastAsia="Times New Roman" w:hAnsi="Times New Roman"/>
          <w:sz w:val="18"/>
          <w:szCs w:val="18"/>
          <w:b w:val="1"/>
          <w:bCs w:val="1"/>
          <w:color w:val="auto"/>
        </w:rPr>
        <w:t>Annex B</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AMENDMENT NO. 1</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TO THE</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INVESTMENT MANAGEMENT TRUST AGREEMENT</w:t>
      </w:r>
    </w:p>
    <w:p>
      <w:pPr>
        <w:spacing w:after="0" w:line="203"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color w:val="auto"/>
        </w:rPr>
        <w:t>This Amendment No. 1 (this “</w:t>
      </w:r>
      <w:r>
        <w:rPr>
          <w:rFonts w:ascii="Times New Roman" w:cs="Times New Roman" w:eastAsia="Times New Roman" w:hAnsi="Times New Roman"/>
          <w:sz w:val="18"/>
          <w:szCs w:val="18"/>
          <w:b w:val="1"/>
          <w:bCs w:val="1"/>
          <w:color w:val="auto"/>
        </w:rPr>
        <w:t>Amendment</w:t>
      </w:r>
      <w:r>
        <w:rPr>
          <w:rFonts w:ascii="Times New Roman" w:cs="Times New Roman" w:eastAsia="Times New Roman" w:hAnsi="Times New Roman"/>
          <w:sz w:val="18"/>
          <w:szCs w:val="18"/>
          <w:color w:val="auto"/>
        </w:rPr>
        <w:t>”), dated as of [*], 2022, to the Investment Management Trust Agreement (as defined below) is made by and between BurTech Acquisition Corp. (the “</w:t>
      </w:r>
      <w:r>
        <w:rPr>
          <w:rFonts w:ascii="Times New Roman" w:cs="Times New Roman" w:eastAsia="Times New Roman" w:hAnsi="Times New Roman"/>
          <w:sz w:val="18"/>
          <w:szCs w:val="18"/>
          <w:b w:val="1"/>
          <w:bCs w:val="1"/>
          <w:color w:val="auto"/>
        </w:rPr>
        <w:t>Company</w:t>
      </w:r>
      <w:r>
        <w:rPr>
          <w:rFonts w:ascii="Times New Roman" w:cs="Times New Roman" w:eastAsia="Times New Roman" w:hAnsi="Times New Roman"/>
          <w:sz w:val="18"/>
          <w:szCs w:val="18"/>
          <w:color w:val="auto"/>
        </w:rPr>
        <w:t>”) and Continental Stock Transfer &amp; Trust Company, as trustee (“</w:t>
      </w:r>
      <w:r>
        <w:rPr>
          <w:rFonts w:ascii="Times New Roman" w:cs="Times New Roman" w:eastAsia="Times New Roman" w:hAnsi="Times New Roman"/>
          <w:sz w:val="18"/>
          <w:szCs w:val="18"/>
          <w:b w:val="1"/>
          <w:bCs w:val="1"/>
          <w:color w:val="auto"/>
        </w:rPr>
        <w:t>Trustee</w:t>
      </w:r>
      <w:r>
        <w:rPr>
          <w:rFonts w:ascii="Times New Roman" w:cs="Times New Roman" w:eastAsia="Times New Roman" w:hAnsi="Times New Roman"/>
          <w:sz w:val="18"/>
          <w:szCs w:val="18"/>
          <w:color w:val="auto"/>
        </w:rPr>
        <w:t>”). All terms used but not defined herein shall have the meanings assigned to them in the Trust Agreement.</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WHEREAS</w:t>
      </w:r>
      <w:r>
        <w:rPr>
          <w:rFonts w:ascii="Times New Roman" w:cs="Times New Roman" w:eastAsia="Times New Roman" w:hAnsi="Times New Roman"/>
          <w:sz w:val="18"/>
          <w:szCs w:val="18"/>
          <w:color w:val="auto"/>
        </w:rPr>
        <w:t>, the Company and the Trustee entered into an Investment Management Trust Agreement on December 10, 2021 (the “</w:t>
      </w:r>
      <w:r>
        <w:rPr>
          <w:rFonts w:ascii="Times New Roman" w:cs="Times New Roman" w:eastAsia="Times New Roman" w:hAnsi="Times New Roman"/>
          <w:sz w:val="18"/>
          <w:szCs w:val="18"/>
          <w:b w:val="1"/>
          <w:bCs w:val="1"/>
          <w:color w:val="auto"/>
        </w:rPr>
        <w:t>Trust Agreement</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color w:val="auto"/>
        </w:rPr>
        <w:t>WHEREAS</w:t>
      </w:r>
      <w:r>
        <w:rPr>
          <w:rFonts w:ascii="Times New Roman" w:cs="Times New Roman" w:eastAsia="Times New Roman" w:hAnsi="Times New Roman"/>
          <w:sz w:val="18"/>
          <w:szCs w:val="18"/>
          <w:color w:val="auto"/>
        </w:rPr>
        <w:t>, Section 1(i) of the Trust Agreement sets forth the terms that govern the liquidation of the Trust Account under the circumstances described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therein;</w:t>
      </w:r>
    </w:p>
    <w:p>
      <w:pPr>
        <w:spacing w:after="0" w:line="155"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b w:val="1"/>
          <w:bCs w:val="1"/>
          <w:color w:val="auto"/>
        </w:rPr>
        <w:t>WHEREAS</w:t>
      </w:r>
      <w:r>
        <w:rPr>
          <w:rFonts w:ascii="Times New Roman" w:cs="Times New Roman" w:eastAsia="Times New Roman" w:hAnsi="Times New Roman"/>
          <w:sz w:val="18"/>
          <w:szCs w:val="18"/>
          <w:color w:val="auto"/>
        </w:rPr>
        <w:t>, at a Special Meeting of the Company held on [*], 2022, the Company’s stockholders approved (i) a proposal to amend the Company’s second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amended and restated certificate of incorporation (the “</w:t>
      </w:r>
      <w:r>
        <w:rPr>
          <w:rFonts w:ascii="Times New Roman" w:cs="Times New Roman" w:eastAsia="Times New Roman" w:hAnsi="Times New Roman"/>
          <w:sz w:val="18"/>
          <w:szCs w:val="18"/>
          <w:b w:val="1"/>
          <w:bCs w:val="1"/>
          <w:color w:val="auto"/>
        </w:rPr>
        <w:t>2nd A&amp;R COI</w:t>
      </w:r>
      <w:r>
        <w:rPr>
          <w:rFonts w:ascii="Times New Roman" w:cs="Times New Roman" w:eastAsia="Times New Roman" w:hAnsi="Times New Roman"/>
          <w:sz w:val="18"/>
          <w:szCs w:val="18"/>
          <w:color w:val="auto"/>
        </w:rPr>
        <w:t>”) giving the Company the right to extend the date by which it has to consummate a business combination up to six (6) times for an additional one-month period each time, until September 15, 2023 (i.e., for a period of time ending 21 months from the consummation of its initial public offering); a (ii) a proposal to amend the Trust Agreement requiring the Company to deposit $[337,500] into the Trust Account for each one-month extension from March 15, 2023 until September 15, 2023 (or up to an aggregate of $[2,025,000] for the total six-month period); and</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NOW THEREFORE, IT IS AGREED:</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 Section 1(i) of the Trust Agreement is hereby amended and restated in its entirety as follows:</w:t>
      </w:r>
    </w:p>
    <w:p>
      <w:pPr>
        <w:spacing w:after="0" w:line="225" w:lineRule="exact"/>
        <w:rPr>
          <w:sz w:val="20"/>
          <w:szCs w:val="20"/>
          <w:color w:val="auto"/>
        </w:rPr>
      </w:pPr>
    </w:p>
    <w:p>
      <w:pPr>
        <w:jc w:val="both"/>
        <w:spacing w:after="0" w:line="242" w:lineRule="auto"/>
        <w:rPr>
          <w:sz w:val="20"/>
          <w:szCs w:val="20"/>
          <w:color w:val="auto"/>
        </w:rPr>
      </w:pPr>
      <w:r>
        <w:rPr>
          <w:rFonts w:ascii="Times New Roman" w:cs="Times New Roman" w:eastAsia="Times New Roman" w:hAnsi="Times New Roman"/>
          <w:sz w:val="18"/>
          <w:szCs w:val="18"/>
          <w:color w:val="auto"/>
        </w:rPr>
        <w:t>“(i) Commence liquidation of the Trust Account only after and promptly after receipt of, and only in accordance with, the terms of a letter (“</w:t>
      </w:r>
      <w:r>
        <w:rPr>
          <w:rFonts w:ascii="Times New Roman" w:cs="Times New Roman" w:eastAsia="Times New Roman" w:hAnsi="Times New Roman"/>
          <w:sz w:val="18"/>
          <w:szCs w:val="18"/>
          <w:u w:val="single" w:color="auto"/>
          <w:color w:val="auto"/>
        </w:rPr>
        <w:t>Termination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Letter</w:t>
      </w:r>
      <w:r>
        <w:rPr>
          <w:rFonts w:ascii="Times New Roman" w:cs="Times New Roman" w:eastAsia="Times New Roman" w:hAnsi="Times New Roman"/>
          <w:sz w:val="18"/>
          <w:szCs w:val="18"/>
          <w:color w:val="auto"/>
        </w:rPr>
        <w:t>”), in a form substantially similar to that attached hereto as either Exhibit A or Exhibit B, signed on behalf of the Company by its President, Chief Executive Officer and Chief Financial Officer and, in the case of a Termination Letter in a form substantially similar to that attached hereto as Exhibit A, acknowledged and agreed to by the Representative, and complete the liquidation of the Trust Account and distribute the Property in the Trust Account only as directed in the Termination Letter and the other documents referred to therein; provided, however, that in the event that a Termination Letter has not been received by the Trustee by (i) the 15-month anniversary of the closing of the IPO (“</w:t>
      </w:r>
      <w:r>
        <w:rPr>
          <w:rFonts w:ascii="Times New Roman" w:cs="Times New Roman" w:eastAsia="Times New Roman" w:hAnsi="Times New Roman"/>
          <w:sz w:val="18"/>
          <w:szCs w:val="18"/>
          <w:u w:val="single" w:color="auto"/>
          <w:color w:val="auto"/>
        </w:rPr>
        <w:t>Closing</w:t>
      </w:r>
      <w:r>
        <w:rPr>
          <w:rFonts w:ascii="Times New Roman" w:cs="Times New Roman" w:eastAsia="Times New Roman" w:hAnsi="Times New Roman"/>
          <w:sz w:val="18"/>
          <w:szCs w:val="18"/>
          <w:color w:val="auto"/>
        </w:rPr>
        <w:t>”) or, (ii) in the event that the Company extended the time to complete the Business Combination for up to 21 months from the closing of the IPO with six (6) one-month extensions by depositing $[337,500] into the Trust Account for each one-month extension, but has not completed the Business Combination within such 21-month period, the 21th month anniversary of the Closing (as applicable, the “</w:t>
      </w:r>
      <w:r>
        <w:rPr>
          <w:rFonts w:ascii="Times New Roman" w:cs="Times New Roman" w:eastAsia="Times New Roman" w:hAnsi="Times New Roman"/>
          <w:sz w:val="18"/>
          <w:szCs w:val="18"/>
          <w:u w:val="single" w:color="auto"/>
          <w:color w:val="auto"/>
        </w:rPr>
        <w:t>Last Date</w:t>
      </w:r>
      <w:r>
        <w:rPr>
          <w:rFonts w:ascii="Times New Roman" w:cs="Times New Roman" w:eastAsia="Times New Roman" w:hAnsi="Times New Roman"/>
          <w:sz w:val="18"/>
          <w:szCs w:val="18"/>
          <w:color w:val="auto"/>
        </w:rPr>
        <w:t>”), the Trust Account shall be liquidated in accordance with the procedures set forth in the Termination Letter attached as Exhibit B hereto and distributed to the Public Stockholders as of the Last Date. For example, if during the 15</w:t>
      </w:r>
      <w:r>
        <w:rPr>
          <w:rFonts w:ascii="Times New Roman" w:cs="Times New Roman" w:eastAsia="Times New Roman" w:hAnsi="Times New Roman"/>
          <w:sz w:val="29"/>
          <w:szCs w:val="29"/>
          <w:color w:val="auto"/>
          <w:vertAlign w:val="superscript"/>
        </w:rPr>
        <w:t>th</w:t>
      </w:r>
      <w:r>
        <w:rPr>
          <w:rFonts w:ascii="Times New Roman" w:cs="Times New Roman" w:eastAsia="Times New Roman" w:hAnsi="Times New Roman"/>
          <w:sz w:val="18"/>
          <w:szCs w:val="18"/>
          <w:color w:val="auto"/>
        </w:rPr>
        <w:t xml:space="preserve"> month, the Company does not</w:t>
      </w:r>
    </w:p>
    <w:p>
      <w:pPr>
        <w:spacing w:after="0" w:line="6" w:lineRule="exact"/>
        <w:rPr>
          <w:sz w:val="20"/>
          <w:szCs w:val="20"/>
          <w:color w:val="auto"/>
        </w:rPr>
      </w:pPr>
    </w:p>
    <w:p>
      <w:pPr>
        <w:jc w:val="both"/>
        <w:ind w:right="20"/>
        <w:spacing w:after="0" w:line="209" w:lineRule="auto"/>
        <w:rPr>
          <w:sz w:val="20"/>
          <w:szCs w:val="20"/>
          <w:color w:val="auto"/>
        </w:rPr>
      </w:pPr>
      <w:r>
        <w:rPr>
          <w:rFonts w:ascii="Times New Roman" w:cs="Times New Roman" w:eastAsia="Times New Roman" w:hAnsi="Times New Roman"/>
          <w:sz w:val="18"/>
          <w:szCs w:val="18"/>
          <w:color w:val="auto"/>
        </w:rPr>
        <w:t>deposit $[337,500] into the Trust Account by the last day of the 15</w:t>
      </w:r>
      <w:r>
        <w:rPr>
          <w:rFonts w:ascii="Times New Roman" w:cs="Times New Roman" w:eastAsia="Times New Roman" w:hAnsi="Times New Roman"/>
          <w:sz w:val="29"/>
          <w:szCs w:val="29"/>
          <w:color w:val="auto"/>
          <w:vertAlign w:val="superscript"/>
        </w:rPr>
        <w:t>th</w:t>
      </w:r>
      <w:r>
        <w:rPr>
          <w:rFonts w:ascii="Times New Roman" w:cs="Times New Roman" w:eastAsia="Times New Roman" w:hAnsi="Times New Roman"/>
          <w:sz w:val="18"/>
          <w:szCs w:val="18"/>
          <w:color w:val="auto"/>
        </w:rPr>
        <w:t xml:space="preserve"> month for a one-month extension, then the Last Date shall be the last day of the 15</w:t>
      </w:r>
      <w:r>
        <w:rPr>
          <w:rFonts w:ascii="Times New Roman" w:cs="Times New Roman" w:eastAsia="Times New Roman" w:hAnsi="Times New Roman"/>
          <w:sz w:val="29"/>
          <w:szCs w:val="29"/>
          <w:color w:val="auto"/>
          <w:vertAlign w:val="superscript"/>
        </w:rPr>
        <w:t>th</w:t>
      </w:r>
      <w:r>
        <w:rPr>
          <w:rFonts w:ascii="Times New Roman" w:cs="Times New Roman" w:eastAsia="Times New Roman" w:hAnsi="Times New Roman"/>
          <w:sz w:val="18"/>
          <w:szCs w:val="18"/>
          <w:color w:val="auto"/>
        </w:rPr>
        <w:t xml:space="preserve"> month.”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428625</wp:posOffset>
            </wp:positionV>
            <wp:extent cx="7132320" cy="825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46" w:name="page47"/>
    <w:bookmarkEnd w:id="46"/>
    <w:p>
      <w:pPr>
        <w:jc w:val="right"/>
        <w:spacing w:after="0"/>
        <w:rPr>
          <w:sz w:val="20"/>
          <w:szCs w:val="20"/>
          <w:color w:val="auto"/>
        </w:rPr>
      </w:pPr>
      <w:r>
        <w:rPr>
          <w:rFonts w:ascii="Times New Roman" w:cs="Times New Roman" w:eastAsia="Times New Roman" w:hAnsi="Times New Roman"/>
          <w:sz w:val="17"/>
          <w:szCs w:val="17"/>
          <w:color w:val="auto"/>
        </w:rPr>
        <w:t>IN WITNESS WHEREOF, the parties have duly executed this Agreement as of the date first written above.</w:t>
      </w:r>
    </w:p>
    <w:p>
      <w:pPr>
        <w:spacing w:after="0" w:line="23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CONTINENTAL STOCK TRANSFER &amp; TRUST COMPANY, as Trustee</w:t>
      </w:r>
    </w:p>
    <w:p>
      <w:pPr>
        <w:spacing w:after="0" w:line="225" w:lineRule="exact"/>
        <w:rPr>
          <w:sz w:val="20"/>
          <w:szCs w:val="20"/>
          <w:color w:val="auto"/>
        </w:rPr>
      </w:pPr>
    </w:p>
    <w:tbl>
      <w:tblPr>
        <w:tblLayout w:type="fixed"/>
        <w:tblInd w:w="8100" w:type="dxa"/>
        <w:tblCellMar>
          <w:top w:w="0" w:type="dxa"/>
          <w:left w:w="0" w:type="dxa"/>
          <w:bottom w:w="0" w:type="dxa"/>
          <w:right w:w="0" w:type="dxa"/>
        </w:tblCellMar>
      </w:tblPr>
      <w:tr>
        <w:trPr>
          <w:trHeight w:val="234"/>
        </w:trPr>
        <w:tc>
          <w:tcPr>
            <w:tcW w:w="34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17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/s/Francis Wolf</w:t>
            </w:r>
          </w:p>
        </w:tc>
      </w:tr>
      <w:tr>
        <w:trPr>
          <w:trHeight w:val="191"/>
        </w:trPr>
        <w:tc>
          <w:tcPr>
            <w:tcW w:w="340" w:type="dxa"/>
            <w:vAlign w:val="bottom"/>
          </w:tcPr>
          <w:p>
            <w:pPr>
              <w:spacing w:after="0"/>
              <w:rPr>
                <w:sz w:val="16"/>
                <w:szCs w:val="16"/>
                <w:color w:val="auto"/>
              </w:rPr>
            </w:pPr>
          </w:p>
        </w:tc>
        <w:tc>
          <w:tcPr>
            <w:tcW w:w="1680" w:type="dxa"/>
            <w:vAlign w:val="bottom"/>
            <w:tcBorders>
              <w:top w:val="single" w:sz="8" w:color="auto"/>
            </w:tcBorders>
          </w:tcPr>
          <w:p>
            <w:pPr>
              <w:jc w:val="right"/>
              <w:spacing w:after="0" w:line="191" w:lineRule="exact"/>
              <w:rPr>
                <w:sz w:val="20"/>
                <w:szCs w:val="20"/>
                <w:color w:val="auto"/>
              </w:rPr>
            </w:pPr>
            <w:r>
              <w:rPr>
                <w:rFonts w:ascii="Times New Roman" w:cs="Times New Roman" w:eastAsia="Times New Roman" w:hAnsi="Times New Roman"/>
                <w:sz w:val="18"/>
                <w:szCs w:val="18"/>
                <w:color w:val="auto"/>
              </w:rPr>
              <w:t>Name: Francis Wolf</w:t>
            </w:r>
          </w:p>
        </w:tc>
        <w:tc>
          <w:tcPr>
            <w:tcW w:w="20" w:type="dxa"/>
            <w:vAlign w:val="bottom"/>
          </w:tcPr>
          <w:p>
            <w:pPr>
              <w:spacing w:after="0"/>
              <w:rPr>
                <w:sz w:val="16"/>
                <w:szCs w:val="16"/>
                <w:color w:val="auto"/>
              </w:rPr>
            </w:pPr>
          </w:p>
        </w:tc>
      </w:tr>
      <w:tr>
        <w:trPr>
          <w:trHeight w:val="234"/>
        </w:trPr>
        <w:tc>
          <w:tcPr>
            <w:tcW w:w="340" w:type="dxa"/>
            <w:vAlign w:val="bottom"/>
          </w:tcPr>
          <w:p>
            <w:pPr>
              <w:spacing w:after="0"/>
              <w:rPr>
                <w:sz w:val="20"/>
                <w:szCs w:val="20"/>
                <w:color w:val="auto"/>
              </w:rPr>
            </w:pPr>
          </w:p>
        </w:tc>
        <w:tc>
          <w:tcPr>
            <w:tcW w:w="17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Title: Vice President</w:t>
            </w:r>
          </w:p>
        </w:tc>
      </w:tr>
    </w:tbl>
    <w:p>
      <w:pPr>
        <w:spacing w:after="0" w:line="198"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BURTECH ACQUISITION CORP.</w:t>
      </w:r>
    </w:p>
    <w:p>
      <w:pPr>
        <w:spacing w:after="0" w:line="225" w:lineRule="exact"/>
        <w:rPr>
          <w:sz w:val="20"/>
          <w:szCs w:val="20"/>
          <w:color w:val="auto"/>
        </w:rPr>
      </w:pPr>
    </w:p>
    <w:p>
      <w:pPr>
        <w:jc w:val="both"/>
        <w:ind w:left="8100"/>
        <w:spacing w:after="0"/>
        <w:tabs>
          <w:tab w:leader="none" w:pos="896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Shahal Khan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5363210</wp:posOffset>
            </wp:positionH>
            <wp:positionV relativeFrom="paragraph">
              <wp:posOffset>17145</wp:posOffset>
            </wp:positionV>
            <wp:extent cx="1062990" cy="825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1062990" cy="8255"/>
                    </a:xfrm>
                    <a:prstGeom prst="rect">
                      <a:avLst/>
                    </a:prstGeom>
                    <a:noFill/>
                  </pic:spPr>
                </pic:pic>
              </a:graphicData>
            </a:graphic>
          </wp:anchor>
        </w:drawing>
      </w:r>
    </w:p>
    <w:p>
      <w:pPr>
        <w:spacing w:after="0" w:line="7" w:lineRule="exact"/>
        <w:rPr>
          <w:sz w:val="20"/>
          <w:szCs w:val="20"/>
          <w:color w:val="auto"/>
        </w:rPr>
      </w:pPr>
    </w:p>
    <w:p>
      <w:pPr>
        <w:ind w:left="8680"/>
        <w:spacing w:after="0"/>
        <w:rPr>
          <w:sz w:val="20"/>
          <w:szCs w:val="20"/>
          <w:color w:val="auto"/>
        </w:rPr>
      </w:pPr>
      <w:r>
        <w:rPr>
          <w:rFonts w:ascii="Times New Roman" w:cs="Times New Roman" w:eastAsia="Times New Roman" w:hAnsi="Times New Roman"/>
          <w:sz w:val="17"/>
          <w:szCs w:val="17"/>
          <w:color w:val="auto"/>
        </w:rPr>
        <w:t>Name: Shahal Khan</w:t>
      </w:r>
    </w:p>
    <w:p>
      <w:pPr>
        <w:spacing w:after="0" w:line="34" w:lineRule="exact"/>
        <w:rPr>
          <w:sz w:val="20"/>
          <w:szCs w:val="20"/>
          <w:color w:val="auto"/>
        </w:rPr>
      </w:pPr>
    </w:p>
    <w:p>
      <w:pPr>
        <w:ind w:left="7920"/>
        <w:spacing w:after="0"/>
        <w:rPr>
          <w:sz w:val="20"/>
          <w:szCs w:val="20"/>
          <w:color w:val="auto"/>
        </w:rPr>
      </w:pPr>
      <w:r>
        <w:rPr>
          <w:rFonts w:ascii="Times New Roman" w:cs="Times New Roman" w:eastAsia="Times New Roman" w:hAnsi="Times New Roman"/>
          <w:sz w:val="18"/>
          <w:szCs w:val="18"/>
          <w:color w:val="auto"/>
        </w:rPr>
        <w:t>Title: 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434340</wp:posOffset>
            </wp:positionV>
            <wp:extent cx="7132320" cy="825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120"/>
          </w:cols>
          <w:pgMar w:left="1440" w:top="904" w:right="339" w:bottom="1440" w:gutter="0" w:footer="0" w:header="0"/>
        </w:sectPr>
      </w:pPr>
    </w:p>
    <w:bookmarkStart w:id="47" w:name="page48"/>
    <w:bookmarkEnd w:id="47"/>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PROXY CARD</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BURTECH ACQUISITION CORP.</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PROXY FOR THE SPECIAL MEETING OF STOCKHOLDERS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THIS PROXY IS SOLICITED BY THE BOARD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142875</wp:posOffset>
            </wp:positionV>
            <wp:extent cx="7132320" cy="30861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32320" cy="308610"/>
                    </a:xfrm>
                    <a:prstGeom prst="rect">
                      <a:avLst/>
                    </a:prstGeom>
                    <a:noFill/>
                  </pic:spPr>
                </pic:pic>
              </a:graphicData>
            </a:graphic>
          </wp:anchor>
        </w:drawing>
      </w:r>
    </w:p>
    <w:p>
      <w:pPr>
        <w:spacing w:after="0" w:line="214" w:lineRule="exact"/>
        <w:rPr>
          <w:sz w:val="20"/>
          <w:szCs w:val="20"/>
          <w:color w:val="auto"/>
        </w:rPr>
      </w:pPr>
    </w:p>
    <w:p>
      <w:pPr>
        <w:ind w:left="120" w:right="120"/>
        <w:spacing w:after="0" w:line="282" w:lineRule="auto"/>
        <w:rPr>
          <w:sz w:val="20"/>
          <w:szCs w:val="20"/>
          <w:color w:val="auto"/>
        </w:rPr>
      </w:pPr>
      <w:r>
        <w:rPr>
          <w:rFonts w:ascii="Times New Roman" w:cs="Times New Roman" w:eastAsia="Times New Roman" w:hAnsi="Times New Roman"/>
          <w:sz w:val="18"/>
          <w:szCs w:val="18"/>
          <w:color w:val="auto"/>
        </w:rPr>
        <w:t>Important Notice Regarding the Availability of Proxy Materials for the Stockholder Meeting to be Held on [●], 2022: The Proxy Statement is available at https[●].</w:t>
      </w:r>
    </w:p>
    <w:p>
      <w:pPr>
        <w:spacing w:after="0" w:line="185"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color w:val="auto"/>
        </w:rPr>
        <w:t>The undersigned hereby appoints [●] as proxy of the undersigned to attend the Special Meeting of Stockholders (the “</w:t>
      </w:r>
      <w:r>
        <w:rPr>
          <w:rFonts w:ascii="Times New Roman" w:cs="Times New Roman" w:eastAsia="Times New Roman" w:hAnsi="Times New Roman"/>
          <w:sz w:val="18"/>
          <w:szCs w:val="18"/>
          <w:b w:val="1"/>
          <w:bCs w:val="1"/>
          <w:u w:val="single" w:color="auto"/>
          <w:color w:val="auto"/>
        </w:rPr>
        <w:t>Special Meeting</w:t>
      </w:r>
      <w:r>
        <w:rPr>
          <w:rFonts w:ascii="Times New Roman" w:cs="Times New Roman" w:eastAsia="Times New Roman" w:hAnsi="Times New Roman"/>
          <w:sz w:val="18"/>
          <w:szCs w:val="18"/>
          <w:color w:val="auto"/>
        </w:rPr>
        <w:t>”) of BurTech Acquisition Corp. (the “</w:t>
      </w:r>
      <w:r>
        <w:rPr>
          <w:rFonts w:ascii="Times New Roman" w:cs="Times New Roman" w:eastAsia="Times New Roman" w:hAnsi="Times New Roman"/>
          <w:sz w:val="18"/>
          <w:szCs w:val="18"/>
          <w:b w:val="1"/>
          <w:bCs w:val="1"/>
          <w:u w:val="single" w:color="auto"/>
          <w:color w:val="auto"/>
        </w:rPr>
        <w:t>Company</w:t>
      </w:r>
      <w:r>
        <w:rPr>
          <w:rFonts w:ascii="Times New Roman" w:cs="Times New Roman" w:eastAsia="Times New Roman" w:hAnsi="Times New Roman"/>
          <w:sz w:val="18"/>
          <w:szCs w:val="18"/>
          <w:color w:val="auto"/>
        </w:rPr>
        <w:t>”), to be held via teleconference as described in the Proxy Statement on [●], 2022 at 10:00 a.m. Eastern time, and any postponement or adjournment thereof, and to vote as if the undersigned were then and there personally present on all matters set forth in the Notice of Special Meeting, dated [●], 2022 (the “</w:t>
      </w:r>
      <w:r>
        <w:rPr>
          <w:rFonts w:ascii="Times New Roman" w:cs="Times New Roman" w:eastAsia="Times New Roman" w:hAnsi="Times New Roman"/>
          <w:sz w:val="18"/>
          <w:szCs w:val="18"/>
          <w:b w:val="1"/>
          <w:bCs w:val="1"/>
          <w:u w:val="single" w:color="auto"/>
          <w:color w:val="auto"/>
        </w:rPr>
        <w:t>Notice</w:t>
      </w:r>
      <w:r>
        <w:rPr>
          <w:rFonts w:ascii="Times New Roman" w:cs="Times New Roman" w:eastAsia="Times New Roman" w:hAnsi="Times New Roman"/>
          <w:sz w:val="18"/>
          <w:szCs w:val="18"/>
          <w:color w:val="auto"/>
        </w:rPr>
        <w:t>”), a copy of which has been received by the undersigned, as follows:</w:t>
      </w:r>
    </w:p>
    <w:p>
      <w:pPr>
        <w:spacing w:after="0" w:line="176" w:lineRule="exact"/>
        <w:rPr>
          <w:sz w:val="20"/>
          <w:szCs w:val="20"/>
          <w:color w:val="auto"/>
        </w:rPr>
      </w:pPr>
    </w:p>
    <w:p>
      <w:pPr>
        <w:jc w:val="both"/>
        <w:ind w:left="660" w:hanging="652"/>
        <w:spacing w:after="0" w:line="262" w:lineRule="auto"/>
        <w:tabs>
          <w:tab w:leader="none" w:pos="660" w:val="left"/>
        </w:tabs>
        <w:numPr>
          <w:ilvl w:val="0"/>
          <w:numId w:val="7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PROPOSAL 1. CHARTER AMENDMENT PROPOSAL - APPROVAL OF AN AMENDMENT TO THE COMPANY’S AMENDED AND RESTATED CERTIFICATE OF INCORPORATION TO EXTEND THE DATE BY WHICH THE COMPANY HAS TO CONSUMMATE A BUSINESS COMBINATION (THE “EXTENSION”) SIX (6) TIMES FOR AN ADDITIONAL ONE (1) MONTH EACH TIME UNTIL SEPTEMBER 15, 2023 IF APPROVED BY THE COMPANY’S BOARD OF DIRECTORS.</w:t>
      </w:r>
    </w:p>
    <w:p>
      <w:pPr>
        <w:spacing w:after="0" w:line="152" w:lineRule="exact"/>
        <w:rPr>
          <w:sz w:val="20"/>
          <w:szCs w:val="20"/>
          <w:color w:val="auto"/>
        </w:rPr>
      </w:pPr>
    </w:p>
    <w:p>
      <w:pPr>
        <w:jc w:val="center"/>
        <w:spacing w:after="0" w:line="207" w:lineRule="exact"/>
        <w:rPr>
          <w:sz w:val="20"/>
          <w:szCs w:val="20"/>
          <w:color w:val="auto"/>
        </w:rPr>
      </w:pPr>
      <w:r>
        <w:rPr>
          <w:rFonts w:ascii="Times New Roman" w:cs="Times New Roman" w:eastAsia="Times New Roman" w:hAnsi="Times New Roman"/>
          <w:sz w:val="18"/>
          <w:szCs w:val="18"/>
          <w:b w:val="1"/>
          <w:bCs w:val="1"/>
          <w:color w:val="auto"/>
        </w:rPr>
        <w:t xml:space="preserve">For </w:t>
      </w:r>
      <w:r>
        <w:rPr>
          <w:rFonts w:ascii="MS PGothic" w:cs="MS PGothic" w:eastAsia="MS PGothic" w:hAnsi="MS PGothic"/>
          <w:sz w:val="18"/>
          <w:szCs w:val="18"/>
          <w:color w:val="auto"/>
          <w:highlight w:val="black"/>
        </w:rPr>
        <w:t>☐</w:t>
      </w:r>
      <w:r>
        <w:rPr>
          <w:rFonts w:ascii="Times New Roman" w:cs="Times New Roman" w:eastAsia="Times New Roman" w:hAnsi="Times New Roman"/>
          <w:sz w:val="18"/>
          <w:szCs w:val="18"/>
          <w:b w:val="1"/>
          <w:bCs w:val="1"/>
          <w:color w:val="auto"/>
        </w:rPr>
        <w:t xml:space="preserve"> Against </w:t>
      </w:r>
      <w:r>
        <w:rPr>
          <w:rFonts w:ascii="MS PGothic" w:cs="MS PGothic" w:eastAsia="MS PGothic" w:hAnsi="MS PGothic"/>
          <w:sz w:val="18"/>
          <w:szCs w:val="18"/>
          <w:color w:val="auto"/>
          <w:highlight w:val="black"/>
        </w:rPr>
        <w:t>☐</w:t>
      </w:r>
      <w:r>
        <w:rPr>
          <w:rFonts w:ascii="Times New Roman" w:cs="Times New Roman" w:eastAsia="Times New Roman" w:hAnsi="Times New Roman"/>
          <w:sz w:val="18"/>
          <w:szCs w:val="18"/>
          <w:b w:val="1"/>
          <w:bCs w:val="1"/>
          <w:color w:val="auto"/>
        </w:rPr>
        <w:t xml:space="preserve"> Abstain </w:t>
      </w:r>
      <w:r>
        <w:rPr>
          <w:rFonts w:ascii="MS PGothic" w:cs="MS PGothic" w:eastAsia="MS PGothic" w:hAnsi="MS PGothic"/>
          <w:sz w:val="18"/>
          <w:szCs w:val="18"/>
          <w:color w:val="auto"/>
          <w:highlight w:val="black"/>
        </w:rPr>
        <w:t>☐</w:t>
      </w:r>
    </w:p>
    <w:p>
      <w:pPr>
        <w:spacing w:after="0" w:line="250" w:lineRule="exact"/>
        <w:rPr>
          <w:sz w:val="20"/>
          <w:szCs w:val="20"/>
          <w:color w:val="auto"/>
        </w:rPr>
      </w:pPr>
    </w:p>
    <w:p>
      <w:pPr>
        <w:jc w:val="both"/>
        <w:ind w:left="660" w:hanging="652"/>
        <w:spacing w:after="0" w:line="257" w:lineRule="auto"/>
        <w:tabs>
          <w:tab w:leader="none" w:pos="660" w:val="left"/>
        </w:tabs>
        <w:numPr>
          <w:ilvl w:val="0"/>
          <w:numId w:val="7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PROPOSAL 2. TRUST AMENDMENT — APPROVAL OF AN AMENDMENT TO THE COMPANY’S INVESTMENT MANAGEMENT TRUST AGREEMENT, DATED AS OF DECEMBER 10, 2021 (THE “TRUST AGREEMENT”), BY AND BETWEEN THE COMPANY AND CONTINENTAL STOCK TRANSFER &amp; TRUST COMPANY (THE “TRUSTEE”), ALLOWING THE COMPANY TO EXTEND THE COMBINATION PERIOD SIX (6) TIMES FOR AN ADDITIONAL ONE-MONTH PERIOD EACH TIME, FROM MARCH 15, 2023 UP TO SEPTEMBER 15, 2023 (THE “TRUST AMENDMENT”) BY DEPOSITING INTO THE TRUST ACCOUNT $[337,500] FOR EACH ONE-MONTH EXTENSION.</w:t>
      </w:r>
    </w:p>
    <w:p>
      <w:pPr>
        <w:spacing w:after="0" w:line="157" w:lineRule="exact"/>
        <w:rPr>
          <w:sz w:val="20"/>
          <w:szCs w:val="20"/>
          <w:color w:val="auto"/>
        </w:rPr>
      </w:pPr>
    </w:p>
    <w:p>
      <w:pPr>
        <w:jc w:val="center"/>
        <w:spacing w:after="0" w:line="207" w:lineRule="exact"/>
        <w:rPr>
          <w:sz w:val="20"/>
          <w:szCs w:val="20"/>
          <w:color w:val="auto"/>
        </w:rPr>
      </w:pPr>
      <w:r>
        <w:rPr>
          <w:rFonts w:ascii="Times New Roman" w:cs="Times New Roman" w:eastAsia="Times New Roman" w:hAnsi="Times New Roman"/>
          <w:sz w:val="18"/>
          <w:szCs w:val="18"/>
          <w:b w:val="1"/>
          <w:bCs w:val="1"/>
          <w:color w:val="auto"/>
        </w:rPr>
        <w:t xml:space="preserve">For </w:t>
      </w:r>
      <w:r>
        <w:rPr>
          <w:rFonts w:ascii="MS PGothic" w:cs="MS PGothic" w:eastAsia="MS PGothic" w:hAnsi="MS PGothic"/>
          <w:sz w:val="18"/>
          <w:szCs w:val="18"/>
          <w:color w:val="auto"/>
          <w:highlight w:val="black"/>
        </w:rPr>
        <w:t>☐</w:t>
      </w:r>
      <w:r>
        <w:rPr>
          <w:rFonts w:ascii="Times New Roman" w:cs="Times New Roman" w:eastAsia="Times New Roman" w:hAnsi="Times New Roman"/>
          <w:sz w:val="18"/>
          <w:szCs w:val="18"/>
          <w:b w:val="1"/>
          <w:bCs w:val="1"/>
          <w:color w:val="auto"/>
        </w:rPr>
        <w:t xml:space="preserve"> Against </w:t>
      </w:r>
      <w:r>
        <w:rPr>
          <w:rFonts w:ascii="MS PGothic" w:cs="MS PGothic" w:eastAsia="MS PGothic" w:hAnsi="MS PGothic"/>
          <w:sz w:val="18"/>
          <w:szCs w:val="18"/>
          <w:color w:val="auto"/>
          <w:highlight w:val="black"/>
        </w:rPr>
        <w:t>☐</w:t>
      </w:r>
      <w:r>
        <w:rPr>
          <w:rFonts w:ascii="Times New Roman" w:cs="Times New Roman" w:eastAsia="Times New Roman" w:hAnsi="Times New Roman"/>
          <w:sz w:val="18"/>
          <w:szCs w:val="18"/>
          <w:b w:val="1"/>
          <w:bCs w:val="1"/>
          <w:color w:val="auto"/>
        </w:rPr>
        <w:t xml:space="preserve"> Abstain </w:t>
      </w:r>
      <w:r>
        <w:rPr>
          <w:rFonts w:ascii="MS PGothic" w:cs="MS PGothic" w:eastAsia="MS PGothic" w:hAnsi="MS PGothic"/>
          <w:sz w:val="18"/>
          <w:szCs w:val="18"/>
          <w:color w:val="auto"/>
          <w:highlight w:val="black"/>
        </w:rPr>
        <w:t>☐</w:t>
      </w:r>
    </w:p>
    <w:p>
      <w:pPr>
        <w:spacing w:after="0" w:line="250" w:lineRule="exact"/>
        <w:rPr>
          <w:sz w:val="20"/>
          <w:szCs w:val="20"/>
          <w:color w:val="auto"/>
        </w:rPr>
      </w:pPr>
    </w:p>
    <w:p>
      <w:pPr>
        <w:jc w:val="both"/>
        <w:ind w:left="660" w:hanging="652"/>
        <w:spacing w:after="0" w:line="262" w:lineRule="auto"/>
        <w:tabs>
          <w:tab w:leader="none" w:pos="660" w:val="left"/>
        </w:tabs>
        <w:numPr>
          <w:ilvl w:val="0"/>
          <w:numId w:val="7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PROPOSAL 3. ADJOURNMENT - APPROVAL TO DIRECT THE CHAIRMAN OF THE SPECIAL MEETING TO ADJOURN THE SPECIAL MEETING TO A LATER DATE OR DATES, IF NECESSARY, TO PERMIT FURTHER SOLICITATION AND VOTE OF PROXIES IF, BASED UPON THE TABULATED VOTE AT THE TIME OF THE MEETING, THERE ARE NOT SUFFICIENT VOTES TO APPROVE THE PROPOSAL 1.</w:t>
      </w:r>
    </w:p>
    <w:p>
      <w:pPr>
        <w:spacing w:after="0" w:line="152" w:lineRule="exact"/>
        <w:rPr>
          <w:sz w:val="20"/>
          <w:szCs w:val="20"/>
          <w:color w:val="auto"/>
        </w:rPr>
      </w:pPr>
    </w:p>
    <w:p>
      <w:pPr>
        <w:jc w:val="center"/>
        <w:spacing w:after="0" w:line="207" w:lineRule="exact"/>
        <w:rPr>
          <w:sz w:val="20"/>
          <w:szCs w:val="20"/>
          <w:color w:val="auto"/>
        </w:rPr>
      </w:pPr>
      <w:r>
        <w:rPr>
          <w:rFonts w:ascii="Times New Roman" w:cs="Times New Roman" w:eastAsia="Times New Roman" w:hAnsi="Times New Roman"/>
          <w:sz w:val="18"/>
          <w:szCs w:val="18"/>
          <w:b w:val="1"/>
          <w:bCs w:val="1"/>
          <w:color w:val="auto"/>
        </w:rPr>
        <w:t xml:space="preserve">For </w:t>
      </w:r>
      <w:r>
        <w:rPr>
          <w:rFonts w:ascii="MS PGothic" w:cs="MS PGothic" w:eastAsia="MS PGothic" w:hAnsi="MS PGothic"/>
          <w:sz w:val="18"/>
          <w:szCs w:val="18"/>
          <w:color w:val="auto"/>
          <w:highlight w:val="black"/>
        </w:rPr>
        <w:t>☐</w:t>
      </w:r>
      <w:r>
        <w:rPr>
          <w:rFonts w:ascii="Times New Roman" w:cs="Times New Roman" w:eastAsia="Times New Roman" w:hAnsi="Times New Roman"/>
          <w:sz w:val="18"/>
          <w:szCs w:val="18"/>
          <w:b w:val="1"/>
          <w:bCs w:val="1"/>
          <w:color w:val="auto"/>
        </w:rPr>
        <w:t xml:space="preserve"> Against </w:t>
      </w:r>
      <w:r>
        <w:rPr>
          <w:rFonts w:ascii="MS PGothic" w:cs="MS PGothic" w:eastAsia="MS PGothic" w:hAnsi="MS PGothic"/>
          <w:sz w:val="18"/>
          <w:szCs w:val="18"/>
          <w:color w:val="auto"/>
          <w:highlight w:val="black"/>
        </w:rPr>
        <w:t>☐</w:t>
      </w:r>
      <w:r>
        <w:rPr>
          <w:rFonts w:ascii="Times New Roman" w:cs="Times New Roman" w:eastAsia="Times New Roman" w:hAnsi="Times New Roman"/>
          <w:sz w:val="18"/>
          <w:szCs w:val="18"/>
          <w:b w:val="1"/>
          <w:bCs w:val="1"/>
          <w:color w:val="auto"/>
        </w:rPr>
        <w:t xml:space="preserve"> Abstain </w:t>
      </w:r>
      <w:r>
        <w:rPr>
          <w:rFonts w:ascii="MS PGothic" w:cs="MS PGothic" w:eastAsia="MS PGothic" w:hAnsi="MS PGothic"/>
          <w:sz w:val="18"/>
          <w:szCs w:val="18"/>
          <w:color w:val="auto"/>
          <w:highlight w:val="black"/>
        </w:rPr>
        <w:t>☐</w:t>
      </w:r>
    </w:p>
    <w:p>
      <w:pPr>
        <w:spacing w:after="0" w:line="250"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color w:val="auto"/>
        </w:rPr>
        <w:t>NOTE: IN HIS DISCRETION, THE PROXY HOLDER IS AUTHORIZED TO VOTE UPON SUCH OTHER MATTER OR MATTERS THAT MAY PROPERLY COME BEFORE THE SPECIAL MEETING AND ANY ADJOURNMENT(S) THEREOF.</w:t>
      </w:r>
    </w:p>
    <w:p>
      <w:pPr>
        <w:spacing w:after="0" w:line="15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THIS PROXY WILL BE VOTED IN ACCORDANCE WITH THE SPECIFIC INDICATION ABOVE. IN THE ABSENCE OF SUCH INDICATION, THIS PROXY WILL BE VOTED “FOR” EACH PROPOSAL AND, AT THE DISCRETION OF THE PROXY HOLDER, ON ANY OTHER MATTERS THAT MAY PROPERLY COME BEFORE THE SPECIAL MEETING OR ANY POSTPONEMENT OR ADJOURNMENT THEREOF.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414655</wp:posOffset>
            </wp:positionV>
            <wp:extent cx="7132320" cy="825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48" w:name="page49"/>
    <w:bookmarkEnd w:id="48"/>
    <w:p>
      <w:pPr>
        <w:spacing w:after="0"/>
        <w:rPr>
          <w:sz w:val="20"/>
          <w:szCs w:val="20"/>
          <w:color w:val="auto"/>
        </w:rPr>
      </w:pPr>
      <w:r>
        <w:rPr>
          <w:rFonts w:ascii="Times New Roman" w:cs="Times New Roman" w:eastAsia="Times New Roman" w:hAnsi="Times New Roman"/>
          <w:sz w:val="18"/>
          <w:szCs w:val="18"/>
          <w:color w:val="auto"/>
        </w:rPr>
        <w:t>Dated: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365125</wp:posOffset>
            </wp:positionH>
            <wp:positionV relativeFrom="paragraph">
              <wp:posOffset>17145</wp:posOffset>
            </wp:positionV>
            <wp:extent cx="6772275" cy="88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6772275" cy="8890"/>
                    </a:xfrm>
                    <a:prstGeom prst="rect">
                      <a:avLst/>
                    </a:prstGeom>
                    <a:noFill/>
                  </pic:spPr>
                </pic:pic>
              </a:graphicData>
            </a:graphic>
          </wp:anchor>
        </w:drawing>
      </w:r>
    </w:p>
    <w:p>
      <w:pPr>
        <w:spacing w:after="0" w:line="7" w:lineRule="exact"/>
        <w:rPr>
          <w:sz w:val="20"/>
          <w:szCs w:val="20"/>
          <w:color w:val="auto"/>
        </w:rPr>
      </w:pPr>
    </w:p>
    <w:p>
      <w:pPr>
        <w:ind w:left="6420"/>
        <w:spacing w:after="0"/>
        <w:rPr>
          <w:sz w:val="20"/>
          <w:szCs w:val="20"/>
          <w:color w:val="auto"/>
        </w:rPr>
      </w:pPr>
      <w:r>
        <w:rPr>
          <w:rFonts w:ascii="Times New Roman" w:cs="Times New Roman" w:eastAsia="Times New Roman" w:hAnsi="Times New Roman"/>
          <w:sz w:val="18"/>
          <w:szCs w:val="18"/>
          <w:color w:val="auto"/>
        </w:rPr>
        <w:t>Signature of Stockholder</w:t>
      </w:r>
    </w:p>
    <w:p>
      <w:pPr>
        <w:spacing w:after="0" w:line="234" w:lineRule="exact"/>
        <w:rPr>
          <w:sz w:val="20"/>
          <w:szCs w:val="20"/>
          <w:color w:val="auto"/>
        </w:rPr>
      </w:pPr>
    </w:p>
    <w:p>
      <w:pPr>
        <w:ind w:left="6420"/>
        <w:spacing w:after="0"/>
        <w:rPr>
          <w:sz w:val="20"/>
          <w:szCs w:val="20"/>
          <w:color w:val="auto"/>
        </w:rPr>
      </w:pPr>
      <w:r>
        <w:rPr>
          <w:rFonts w:ascii="Times New Roman" w:cs="Times New Roman" w:eastAsia="Times New Roman" w:hAnsi="Times New Roman"/>
          <w:sz w:val="18"/>
          <w:szCs w:val="18"/>
          <w:color w:val="auto"/>
        </w:rPr>
        <w:t>PLEASE PRINT 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4076700</wp:posOffset>
            </wp:positionH>
            <wp:positionV relativeFrom="paragraph">
              <wp:posOffset>-127635</wp:posOffset>
            </wp:positionV>
            <wp:extent cx="3060065" cy="825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3060065" cy="8255"/>
                    </a:xfrm>
                    <a:prstGeom prst="rect">
                      <a:avLst/>
                    </a:prstGeom>
                    <a:noFill/>
                  </pic:spPr>
                </pic:pic>
              </a:graphicData>
            </a:graphic>
          </wp:anchor>
        </w:drawing>
      </w:r>
    </w:p>
    <w:p>
      <w:pPr>
        <w:spacing w:after="0" w:line="219" w:lineRule="exact"/>
        <w:rPr>
          <w:sz w:val="20"/>
          <w:szCs w:val="20"/>
          <w:color w:val="auto"/>
        </w:rPr>
      </w:pPr>
    </w:p>
    <w:p>
      <w:pPr>
        <w:ind w:left="6420"/>
        <w:spacing w:after="0"/>
        <w:rPr>
          <w:sz w:val="20"/>
          <w:szCs w:val="20"/>
          <w:color w:val="auto"/>
        </w:rPr>
      </w:pPr>
      <w:r>
        <w:rPr>
          <w:rFonts w:ascii="Times New Roman" w:cs="Times New Roman" w:eastAsia="Times New Roman" w:hAnsi="Times New Roman"/>
          <w:sz w:val="18"/>
          <w:szCs w:val="18"/>
          <w:color w:val="auto"/>
        </w:rPr>
        <w:t>Certificate Number(s)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4076700</wp:posOffset>
            </wp:positionH>
            <wp:positionV relativeFrom="paragraph">
              <wp:posOffset>-127635</wp:posOffset>
            </wp:positionV>
            <wp:extent cx="3060065" cy="889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3060065" cy="8890"/>
                    </a:xfrm>
                    <a:prstGeom prst="rect">
                      <a:avLst/>
                    </a:prstGeom>
                    <a:noFill/>
                  </pic:spPr>
                </pic:pic>
              </a:graphicData>
            </a:graphic>
          </wp:anchor>
        </w:drawing>
      </w:r>
    </w:p>
    <w:p>
      <w:pPr>
        <w:spacing w:after="0" w:line="219" w:lineRule="exact"/>
        <w:rPr>
          <w:sz w:val="20"/>
          <w:szCs w:val="20"/>
          <w:color w:val="auto"/>
        </w:rPr>
      </w:pPr>
    </w:p>
    <w:p>
      <w:pPr>
        <w:ind w:left="6420"/>
        <w:spacing w:after="0"/>
        <w:rPr>
          <w:sz w:val="20"/>
          <w:szCs w:val="20"/>
          <w:color w:val="auto"/>
        </w:rPr>
      </w:pPr>
      <w:r>
        <w:rPr>
          <w:rFonts w:ascii="Times New Roman" w:cs="Times New Roman" w:eastAsia="Times New Roman" w:hAnsi="Times New Roman"/>
          <w:sz w:val="18"/>
          <w:szCs w:val="18"/>
          <w:color w:val="auto"/>
        </w:rPr>
        <w:t>Total Number of Shares Owned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4076700</wp:posOffset>
            </wp:positionH>
            <wp:positionV relativeFrom="paragraph">
              <wp:posOffset>-127635</wp:posOffset>
            </wp:positionV>
            <wp:extent cx="3060065" cy="825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3060065" cy="8255"/>
                    </a:xfrm>
                    <a:prstGeom prst="rect">
                      <a:avLst/>
                    </a:prstGeom>
                    <a:noFill/>
                  </pic:spPr>
                </pic:pic>
              </a:graphicData>
            </a:graphic>
          </wp:anchor>
        </w:drawing>
      </w:r>
    </w:p>
    <w:p>
      <w:pPr>
        <w:spacing w:after="0" w:line="20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Sign exactly as your name(s) appears on your stock certificate(s). A corporation is requested to sign its name by its President or other authorized officer, with the office held designated. Executors, administrators, trustees, etc., are requested to so indicate when signing. If a stock certificate is registered in two names or held as joint tenants or as community property, both interested persons should sign.</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PLEASE COMPLETE THE FOLLOWING:</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plan to attend the Special Meeting (Circle one): Yes No</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Number of attendees: ____________</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PLEASE NOTE:</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STOCKHOLDER SHOULD SIGN THE PROXY PROMPTLY AND RETURN IT IN THE ENCLOSED ENVELOPE AS SOON AS POSSIBLE TO ENSURE THAT IT IS RECEIVED BEFORE THE SPECIAL MEETING. PLEASE INDICATE ANY ADDRESS OR TELEPHONE NUMBER CHANGES IN THE SPACE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1374775</wp:posOffset>
            </wp:positionV>
            <wp:extent cx="7132320" cy="825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sectPr>
      <w:pgSz w:w="11900" w:h="16838" w:orient="portrait"/>
      <w:cols w:equalWidth="0" w:num="1">
        <w:col w:w="11240"/>
      </w:cols>
      <w:pgMar w:left="320" w:top="904"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C482A97"/>
    <w:multiLevelType w:val="hybridMultilevel"/>
    <w:lvl w:ilvl="0">
      <w:lvlJc w:val="left"/>
      <w:lvlText w:val="☒"/>
      <w:numFmt w:val="bullet"/>
      <w:start w:val="1"/>
    </w:lvl>
  </w:abstractNum>
  <w:abstractNum w:abstractNumId="1">
    <w:nsid w:val="2463B9EA"/>
    <w:multiLevelType w:val="hybridMultilevel"/>
    <w:lvl w:ilvl="0">
      <w:lvlJc w:val="left"/>
      <w:lvlText w:val="☐"/>
      <w:numFmt w:val="bullet"/>
      <w:start w:val="1"/>
    </w:lvl>
  </w:abstractNum>
  <w:abstractNum w:abstractNumId="2">
    <w:nsid w:val="5E884ADC"/>
    <w:multiLevelType w:val="hybridMultilevel"/>
    <w:lvl w:ilvl="0">
      <w:lvlJc w:val="left"/>
      <w:lvlText w:val="☒"/>
      <w:numFmt w:val="bullet"/>
      <w:start w:val="1"/>
    </w:lvl>
  </w:abstractNum>
  <w:abstractNum w:abstractNumId="3">
    <w:nsid w:val="51EAD36B"/>
    <w:multiLevelType w:val="hybridMultilevel"/>
    <w:lvl w:ilvl="0">
      <w:lvlJc w:val="left"/>
      <w:lvlText w:val="☐"/>
      <w:numFmt w:val="bullet"/>
      <w:start w:val="1"/>
    </w:lvl>
    <w:lvl w:ilvl="1">
      <w:lvlJc w:val="left"/>
      <w:lvlText w:val="(%2)"/>
      <w:numFmt w:val="decimal"/>
      <w:start w:val="1"/>
    </w:lvl>
  </w:abstractNum>
  <w:abstractNum w:abstractNumId="4">
    <w:nsid w:val="2D517796"/>
    <w:multiLevelType w:val="hybridMultilevel"/>
    <w:lvl w:ilvl="0">
      <w:lvlJc w:val="left"/>
      <w:lvlText w:val="(%1)"/>
      <w:numFmt w:val="lowerRoman"/>
      <w:start w:val="1"/>
    </w:lvl>
  </w:abstractNum>
  <w:abstractNum w:abstractNumId="5">
    <w:nsid w:val="580BD78F"/>
    <w:multiLevelType w:val="hybridMultilevel"/>
    <w:lvl w:ilvl="0">
      <w:lvlJc w:val="left"/>
      <w:lvlText w:val="(%1)"/>
      <w:numFmt w:val="lowerRoman"/>
      <w:start w:val="1"/>
    </w:lvl>
  </w:abstractNum>
  <w:abstractNum w:abstractNumId="6">
    <w:nsid w:val="153EA438"/>
    <w:multiLevelType w:val="hybridMultilevel"/>
    <w:lvl w:ilvl="0">
      <w:lvlJc w:val="left"/>
      <w:lvlText w:val="%1."/>
      <w:numFmt w:val="decimal"/>
      <w:start w:val="1"/>
    </w:lvl>
  </w:abstractNum>
  <w:abstractNum w:abstractNumId="7">
    <w:nsid w:val="3855585C"/>
    <w:multiLevelType w:val="hybridMultilevel"/>
    <w:lvl w:ilvl="0">
      <w:lvlJc w:val="left"/>
      <w:lvlText w:val="%1."/>
      <w:numFmt w:val="decimal"/>
      <w:start w:val="1"/>
    </w:lvl>
  </w:abstractNum>
  <w:abstractNum w:abstractNumId="8">
    <w:nsid w:val="70A64E2A"/>
    <w:multiLevelType w:val="hybridMultilevel"/>
    <w:lvl w:ilvl="0">
      <w:lvlJc w:val="left"/>
      <w:lvlText w:val="%1."/>
      <w:numFmt w:val="upperLetter"/>
      <w:start w:val="17"/>
    </w:lvl>
  </w:abstractNum>
  <w:abstractNum w:abstractNumId="9">
    <w:nsid w:val="6A2342EC"/>
    <w:multiLevelType w:val="hybridMultilevel"/>
    <w:lvl w:ilvl="0">
      <w:lvlJc w:val="left"/>
      <w:lvlText w:val="%1."/>
      <w:numFmt w:val="upperLetter"/>
      <w:start w:val="1"/>
    </w:lvl>
  </w:abstractNum>
  <w:abstractNum w:abstractNumId="10">
    <w:nsid w:val="2A487CB0"/>
    <w:multiLevelType w:val="hybridMultilevel"/>
    <w:lvl w:ilvl="0">
      <w:lvlJc w:val="left"/>
      <w:lvlText w:val="%1."/>
      <w:numFmt w:val="upperLetter"/>
      <w:start w:val="17"/>
    </w:lvl>
  </w:abstractNum>
  <w:abstractNum w:abstractNumId="11">
    <w:nsid w:val="1D4ED43B"/>
    <w:multiLevelType w:val="hybridMultilevel"/>
    <w:lvl w:ilvl="0">
      <w:lvlJc w:val="left"/>
      <w:lvlText w:val="%1."/>
      <w:numFmt w:val="upperLetter"/>
      <w:start w:val="1"/>
    </w:lvl>
  </w:abstractNum>
  <w:abstractNum w:abstractNumId="12">
    <w:nsid w:val="725A06FB"/>
    <w:multiLevelType w:val="hybridMultilevel"/>
    <w:lvl w:ilvl="0">
      <w:lvlJc w:val="left"/>
      <w:lvlText w:val="%1."/>
      <w:numFmt w:val="upperLetter"/>
      <w:start w:val="17"/>
    </w:lvl>
  </w:abstractNum>
  <w:abstractNum w:abstractNumId="13">
    <w:nsid w:val="2CD89A32"/>
    <w:multiLevelType w:val="hybridMultilevel"/>
    <w:lvl w:ilvl="0">
      <w:lvlJc w:val="left"/>
      <w:lvlText w:val="%1."/>
      <w:numFmt w:val="upperLetter"/>
      <w:start w:val="1"/>
    </w:lvl>
  </w:abstractNum>
  <w:abstractNum w:abstractNumId="14">
    <w:nsid w:val="57E4CCAF"/>
    <w:multiLevelType w:val="hybridMultilevel"/>
    <w:lvl w:ilvl="0">
      <w:lvlJc w:val="left"/>
      <w:lvlText w:val="%1."/>
      <w:numFmt w:val="upperLetter"/>
      <w:start w:val="17"/>
    </w:lvl>
  </w:abstractNum>
  <w:abstractNum w:abstractNumId="15">
    <w:nsid w:val="7A6D8D3C"/>
    <w:multiLevelType w:val="hybridMultilevel"/>
    <w:lvl w:ilvl="0">
      <w:lvlJc w:val="left"/>
      <w:lvlText w:val="%1."/>
      <w:numFmt w:val="upperLetter"/>
      <w:start w:val="1"/>
    </w:lvl>
  </w:abstractNum>
  <w:abstractNum w:abstractNumId="16">
    <w:nsid w:val="4B588F54"/>
    <w:multiLevelType w:val="hybridMultilevel"/>
    <w:lvl w:ilvl="0">
      <w:lvlJc w:val="left"/>
      <w:lvlText w:val="(%1)"/>
      <w:numFmt w:val="lowerRoman"/>
      <w:start w:val="1"/>
    </w:lvl>
  </w:abstractNum>
  <w:abstractNum w:abstractNumId="17">
    <w:nsid w:val="542289EC"/>
    <w:multiLevelType w:val="hybridMultilevel"/>
    <w:lvl w:ilvl="0">
      <w:lvlJc w:val="left"/>
      <w:lvlText w:val="%1."/>
      <w:numFmt w:val="upperLetter"/>
      <w:start w:val="17"/>
    </w:lvl>
  </w:abstractNum>
  <w:abstractNum w:abstractNumId="18">
    <w:nsid w:val="6DE91B18"/>
    <w:multiLevelType w:val="hybridMultilevel"/>
    <w:lvl w:ilvl="0">
      <w:lvlJc w:val="left"/>
      <w:lvlText w:val="%1."/>
      <w:numFmt w:val="upperLetter"/>
      <w:start w:val="1"/>
    </w:lvl>
  </w:abstractNum>
  <w:abstractNum w:abstractNumId="19">
    <w:nsid w:val="38437FDB"/>
    <w:multiLevelType w:val="hybridMultilevel"/>
    <w:lvl w:ilvl="0">
      <w:lvlJc w:val="left"/>
      <w:lvlText w:val="%1."/>
      <w:numFmt w:val="upperLetter"/>
      <w:start w:val="17"/>
    </w:lvl>
  </w:abstractNum>
  <w:abstractNum w:abstractNumId="20">
    <w:nsid w:val="7644A45C"/>
    <w:multiLevelType w:val="hybridMultilevel"/>
    <w:lvl w:ilvl="0">
      <w:lvlJc w:val="left"/>
      <w:lvlText w:val="%1."/>
      <w:numFmt w:val="upperLetter"/>
      <w:start w:val="1"/>
    </w:lvl>
  </w:abstractNum>
  <w:abstractNum w:abstractNumId="21">
    <w:nsid w:val="32FFF902"/>
    <w:multiLevelType w:val="hybridMultilevel"/>
    <w:lvl w:ilvl="0">
      <w:lvlJc w:val="left"/>
      <w:lvlText w:val="%1."/>
      <w:numFmt w:val="upperLetter"/>
      <w:start w:val="17"/>
    </w:lvl>
  </w:abstractNum>
  <w:abstractNum w:abstractNumId="22">
    <w:nsid w:val="684A481A"/>
    <w:multiLevelType w:val="hybridMultilevel"/>
    <w:lvl w:ilvl="0">
      <w:lvlJc w:val="left"/>
      <w:lvlText w:val="%1."/>
      <w:numFmt w:val="upperLetter"/>
      <w:start w:val="1"/>
    </w:lvl>
  </w:abstractNum>
  <w:abstractNum w:abstractNumId="23">
    <w:nsid w:val="579478FE"/>
    <w:multiLevelType w:val="hybridMultilevel"/>
    <w:lvl w:ilvl="0">
      <w:lvlJc w:val="left"/>
      <w:lvlText w:val="%1."/>
      <w:numFmt w:val="upperLetter"/>
      <w:start w:val="17"/>
    </w:lvl>
  </w:abstractNum>
  <w:abstractNum w:abstractNumId="24">
    <w:nsid w:val="749ABB43"/>
    <w:multiLevelType w:val="hybridMultilevel"/>
    <w:lvl w:ilvl="0">
      <w:lvlJc w:val="left"/>
      <w:lvlText w:val="%1."/>
      <w:numFmt w:val="upperLetter"/>
      <w:start w:val="1"/>
    </w:lvl>
  </w:abstractNum>
  <w:abstractNum w:abstractNumId="25">
    <w:nsid w:val="3DC240FB"/>
    <w:multiLevelType w:val="hybridMultilevel"/>
    <w:lvl w:ilvl="0">
      <w:lvlJc w:val="left"/>
      <w:lvlText w:val="%1."/>
      <w:numFmt w:val="upperLetter"/>
      <w:start w:val="17"/>
    </w:lvl>
  </w:abstractNum>
  <w:abstractNum w:abstractNumId="26">
    <w:nsid w:val="1BA026FA"/>
    <w:multiLevelType w:val="hybridMultilevel"/>
    <w:lvl w:ilvl="0">
      <w:lvlJc w:val="left"/>
      <w:lvlText w:val="%1."/>
      <w:numFmt w:val="upperLetter"/>
      <w:start w:val="1"/>
    </w:lvl>
  </w:abstractNum>
  <w:abstractNum w:abstractNumId="27">
    <w:nsid w:val="79A1DEAA"/>
    <w:multiLevelType w:val="hybridMultilevel"/>
    <w:lvl w:ilvl="0">
      <w:lvlJc w:val="left"/>
      <w:lvlText w:val="%1."/>
      <w:numFmt w:val="upperLetter"/>
      <w:start w:val="17"/>
    </w:lvl>
  </w:abstractNum>
  <w:abstractNum w:abstractNumId="28">
    <w:nsid w:val="75C6C33A"/>
    <w:multiLevelType w:val="hybridMultilevel"/>
    <w:lvl w:ilvl="0">
      <w:lvlJc w:val="left"/>
      <w:lvlText w:val="%1."/>
      <w:numFmt w:val="upperLetter"/>
      <w:start w:val="1"/>
    </w:lvl>
  </w:abstractNum>
  <w:abstractNum w:abstractNumId="29">
    <w:nsid w:val="12E685FB"/>
    <w:multiLevelType w:val="hybridMultilevel"/>
    <w:lvl w:ilvl="0">
      <w:lvlJc w:val="left"/>
      <w:lvlText w:val="%1."/>
      <w:numFmt w:val="upperLetter"/>
      <w:start w:val="17"/>
    </w:lvl>
  </w:abstractNum>
  <w:abstractNum w:abstractNumId="30">
    <w:nsid w:val="70C6A529"/>
    <w:multiLevelType w:val="hybridMultilevel"/>
    <w:lvl w:ilvl="0">
      <w:lvlJc w:val="left"/>
      <w:lvlText w:val="%1."/>
      <w:numFmt w:val="upperLetter"/>
      <w:start w:val="1"/>
    </w:lvl>
  </w:abstractNum>
  <w:abstractNum w:abstractNumId="31">
    <w:nsid w:val="520EEDD1"/>
    <w:multiLevelType w:val="hybridMultilevel"/>
    <w:lvl w:ilvl="0">
      <w:lvlJc w:val="left"/>
      <w:lvlText w:val="%1."/>
      <w:numFmt w:val="upperLetter"/>
      <w:start w:val="17"/>
    </w:lvl>
  </w:abstractNum>
  <w:abstractNum w:abstractNumId="32">
    <w:nsid w:val="374A3FE6"/>
    <w:multiLevelType w:val="hybridMultilevel"/>
    <w:lvl w:ilvl="0">
      <w:lvlJc w:val="left"/>
      <w:lvlText w:val="%1."/>
      <w:numFmt w:val="upperLetter"/>
      <w:start w:val="1"/>
    </w:lvl>
  </w:abstractNum>
  <w:abstractNum w:abstractNumId="33">
    <w:nsid w:val="4F4EF005"/>
    <w:multiLevelType w:val="hybridMultilevel"/>
    <w:lvl w:ilvl="0">
      <w:lvlJc w:val="left"/>
      <w:lvlText w:val="%1."/>
      <w:numFmt w:val="upperLetter"/>
      <w:start w:val="17"/>
    </w:lvl>
  </w:abstractNum>
  <w:abstractNum w:abstractNumId="34">
    <w:nsid w:val="23F9C13C"/>
    <w:multiLevelType w:val="hybridMultilevel"/>
    <w:lvl w:ilvl="0">
      <w:lvlJc w:val="left"/>
      <w:lvlText w:val="%1."/>
      <w:numFmt w:val="upperLetter"/>
      <w:start w:val="1"/>
    </w:lvl>
  </w:abstractNum>
  <w:abstractNum w:abstractNumId="35">
    <w:nsid w:val="649BB77C"/>
    <w:multiLevelType w:val="hybridMultilevel"/>
    <w:lvl w:ilvl="0">
      <w:lvlJc w:val="left"/>
      <w:lvlText w:val="%1."/>
      <w:numFmt w:val="upperLetter"/>
      <w:start w:val="17"/>
    </w:lvl>
  </w:abstractNum>
  <w:abstractNum w:abstractNumId="36">
    <w:nsid w:val="275AC794"/>
    <w:multiLevelType w:val="hybridMultilevel"/>
    <w:lvl w:ilvl="0">
      <w:lvlJc w:val="left"/>
      <w:lvlText w:val="%1."/>
      <w:numFmt w:val="upperLetter"/>
      <w:start w:val="1"/>
    </w:lvl>
  </w:abstractNum>
  <w:abstractNum w:abstractNumId="37">
    <w:nsid w:val="39386575"/>
    <w:multiLevelType w:val="hybridMultilevel"/>
    <w:lvl w:ilvl="0">
      <w:lvlJc w:val="left"/>
      <w:lvlText w:val="%1."/>
      <w:numFmt w:val="upperLetter"/>
      <w:start w:val="17"/>
    </w:lvl>
  </w:abstractNum>
  <w:abstractNum w:abstractNumId="38">
    <w:nsid w:val="1CF10FD8"/>
    <w:multiLevelType w:val="hybridMultilevel"/>
    <w:lvl w:ilvl="0">
      <w:lvlJc w:val="left"/>
      <w:lvlText w:val="%1."/>
      <w:numFmt w:val="upperLetter"/>
      <w:start w:val="1"/>
    </w:lvl>
  </w:abstractNum>
  <w:abstractNum w:abstractNumId="39">
    <w:nsid w:val="180115BE"/>
    <w:multiLevelType w:val="hybridMultilevel"/>
    <w:lvl w:ilvl="0">
      <w:lvlJc w:val="left"/>
      <w:lvlText w:val="%1."/>
      <w:numFmt w:val="upperLetter"/>
      <w:start w:val="17"/>
    </w:lvl>
  </w:abstractNum>
  <w:abstractNum w:abstractNumId="40">
    <w:nsid w:val="235BA861"/>
    <w:multiLevelType w:val="hybridMultilevel"/>
    <w:lvl w:ilvl="0">
      <w:lvlJc w:val="left"/>
      <w:lvlText w:val="%1."/>
      <w:numFmt w:val="upperLetter"/>
      <w:start w:val="1"/>
    </w:lvl>
  </w:abstractNum>
  <w:abstractNum w:abstractNumId="41">
    <w:nsid w:val="47398C89"/>
    <w:multiLevelType w:val="hybridMultilevel"/>
    <w:lvl w:ilvl="0">
      <w:lvlJc w:val="left"/>
      <w:lvlText w:val="%1:"/>
      <w:numFmt w:val="upperLetter"/>
      <w:start w:val="1"/>
    </w:lvl>
  </w:abstractNum>
  <w:abstractNum w:abstractNumId="42">
    <w:nsid w:val="354FE9F9"/>
    <w:multiLevelType w:val="hybridMultilevel"/>
    <w:lvl w:ilvl="0">
      <w:lvlJc w:val="left"/>
      <w:lvlText w:val="%1:"/>
      <w:numFmt w:val="upperLetter"/>
      <w:start w:val="1"/>
    </w:lvl>
  </w:abstractNum>
  <w:abstractNum w:abstractNumId="43">
    <w:nsid w:val="15B5AF5C"/>
    <w:multiLevelType w:val="hybridMultilevel"/>
    <w:lvl w:ilvl="0">
      <w:lvlJc w:val="left"/>
      <w:lvlText w:val="%1:"/>
      <w:numFmt w:val="upperLetter"/>
      <w:start w:val="1"/>
    </w:lvl>
  </w:abstractNum>
  <w:abstractNum w:abstractNumId="44">
    <w:nsid w:val="741226BB"/>
    <w:multiLevelType w:val="hybridMultilevel"/>
    <w:lvl w:ilvl="0">
      <w:lvlJc w:val="left"/>
      <w:lvlText w:val="%1:"/>
      <w:numFmt w:val="upperLetter"/>
      <w:start w:val="1"/>
    </w:lvl>
  </w:abstractNum>
  <w:abstractNum w:abstractNumId="45">
    <w:nsid w:val="D34B6A8"/>
    <w:multiLevelType w:val="hybridMultilevel"/>
    <w:lvl w:ilvl="0">
      <w:lvlJc w:val="left"/>
      <w:lvlText w:val="%1:"/>
      <w:numFmt w:val="upperLetter"/>
      <w:start w:val="1"/>
    </w:lvl>
  </w:abstractNum>
  <w:abstractNum w:abstractNumId="46">
    <w:nsid w:val="10233C99"/>
    <w:multiLevelType w:val="hybridMultilevel"/>
    <w:lvl w:ilvl="0">
      <w:lvlJc w:val="left"/>
      <w:lvlText w:val="%1:"/>
      <w:numFmt w:val="upperLetter"/>
      <w:start w:val="1"/>
    </w:lvl>
  </w:abstractNum>
  <w:abstractNum w:abstractNumId="47">
    <w:nsid w:val="3F6AB60F"/>
    <w:multiLevelType w:val="hybridMultilevel"/>
    <w:lvl w:ilvl="0">
      <w:lvlJc w:val="left"/>
      <w:lvlText w:val="%1."/>
      <w:numFmt w:val="upperLetter"/>
      <w:start w:val="17"/>
    </w:lvl>
  </w:abstractNum>
  <w:abstractNum w:abstractNumId="48">
    <w:nsid w:val="61574095"/>
    <w:multiLevelType w:val="hybridMultilevel"/>
    <w:lvl w:ilvl="0">
      <w:lvlJc w:val="left"/>
      <w:lvlText w:val="%1."/>
      <w:numFmt w:val="upperLetter"/>
      <w:start w:val="1"/>
    </w:lvl>
  </w:abstractNum>
  <w:abstractNum w:abstractNumId="49">
    <w:nsid w:val="7E0C57B1"/>
    <w:multiLevelType w:val="hybridMultilevel"/>
    <w:lvl w:ilvl="0">
      <w:lvlJc w:val="left"/>
      <w:lvlText w:val="%1."/>
      <w:numFmt w:val="upperLetter"/>
      <w:start w:val="17"/>
    </w:lvl>
  </w:abstractNum>
  <w:abstractNum w:abstractNumId="50">
    <w:nsid w:val="77AE35EB"/>
    <w:multiLevelType w:val="hybridMultilevel"/>
    <w:lvl w:ilvl="0">
      <w:lvlJc w:val="left"/>
      <w:lvlText w:val="%1."/>
      <w:numFmt w:val="upperLetter"/>
      <w:start w:val="1"/>
    </w:lvl>
  </w:abstractNum>
  <w:abstractNum w:abstractNumId="51">
    <w:nsid w:val="579BE4F1"/>
    <w:multiLevelType w:val="hybridMultilevel"/>
    <w:lvl w:ilvl="0">
      <w:lvlJc w:val="left"/>
      <w:lvlText w:val="%1."/>
      <w:numFmt w:val="upperLetter"/>
      <w:start w:val="17"/>
    </w:lvl>
  </w:abstractNum>
  <w:abstractNum w:abstractNumId="52">
    <w:nsid w:val="310C50B3"/>
    <w:multiLevelType w:val="hybridMultilevel"/>
    <w:lvl w:ilvl="0">
      <w:lvlJc w:val="left"/>
      <w:lvlText w:val="%1."/>
      <w:numFmt w:val="upperLetter"/>
      <w:start w:val="1"/>
    </w:lvl>
  </w:abstractNum>
  <w:abstractNum w:abstractNumId="53">
    <w:nsid w:val="5FF87E05"/>
    <w:multiLevelType w:val="hybridMultilevel"/>
    <w:lvl w:ilvl="0">
      <w:lvlJc w:val="left"/>
      <w:lvlText w:val="%1."/>
      <w:numFmt w:val="upperLetter"/>
      <w:start w:val="17"/>
    </w:lvl>
  </w:abstractNum>
  <w:abstractNum w:abstractNumId="54">
    <w:nsid w:val="2F305DEF"/>
    <w:multiLevelType w:val="hybridMultilevel"/>
    <w:lvl w:ilvl="0">
      <w:lvlJc w:val="left"/>
      <w:lvlText w:val="%1."/>
      <w:numFmt w:val="upperLetter"/>
      <w:start w:val="1"/>
    </w:lvl>
  </w:abstractNum>
  <w:abstractNum w:abstractNumId="55">
    <w:nsid w:val="25A70BF7"/>
    <w:multiLevelType w:val="hybridMultilevel"/>
    <w:lvl w:ilvl="0">
      <w:lvlJc w:val="left"/>
      <w:lvlText w:val="%1."/>
      <w:numFmt w:val="upperLetter"/>
      <w:start w:val="17"/>
    </w:lvl>
  </w:abstractNum>
  <w:abstractNum w:abstractNumId="56">
    <w:nsid w:val="1DBABF00"/>
    <w:multiLevelType w:val="hybridMultilevel"/>
    <w:lvl w:ilvl="0">
      <w:lvlJc w:val="left"/>
      <w:lvlText w:val="%1."/>
      <w:numFmt w:val="upperLetter"/>
      <w:start w:val="1"/>
    </w:lvl>
  </w:abstractNum>
  <w:abstractNum w:abstractNumId="57">
    <w:nsid w:val="4AD084E9"/>
    <w:multiLevelType w:val="hybridMultilevel"/>
    <w:lvl w:ilvl="0">
      <w:lvlJc w:val="left"/>
      <w:lvlText w:val="%1:"/>
      <w:numFmt w:val="upperLetter"/>
      <w:start w:val="1"/>
    </w:lvl>
  </w:abstractNum>
  <w:abstractNum w:abstractNumId="58">
    <w:nsid w:val="1F48EAA1"/>
    <w:multiLevelType w:val="hybridMultilevel"/>
    <w:lvl w:ilvl="0">
      <w:lvlJc w:val="left"/>
      <w:lvlText w:val="%1."/>
      <w:numFmt w:val="upperLetter"/>
      <w:start w:val="17"/>
    </w:lvl>
  </w:abstractNum>
  <w:abstractNum w:abstractNumId="59">
    <w:nsid w:val="1381823A"/>
    <w:multiLevelType w:val="hybridMultilevel"/>
    <w:lvl w:ilvl="0">
      <w:lvlJc w:val="left"/>
      <w:lvlText w:val="%1."/>
      <w:numFmt w:val="upperLetter"/>
      <w:start w:val="1"/>
    </w:lvl>
  </w:abstractNum>
  <w:abstractNum w:abstractNumId="60">
    <w:nsid w:val="5DB70AE5"/>
    <w:multiLevelType w:val="hybridMultilevel"/>
    <w:lvl w:ilvl="0">
      <w:lvlJc w:val="left"/>
      <w:lvlText w:val="&amp;"/>
      <w:numFmt w:val="bullet"/>
      <w:start w:val="1"/>
    </w:lvl>
  </w:abstractNum>
  <w:abstractNum w:abstractNumId="61">
    <w:nsid w:val="100F8FCA"/>
    <w:multiLevelType w:val="hybridMultilevel"/>
    <w:lvl w:ilvl="0">
      <w:lvlJc w:val="left"/>
      <w:lvlText w:val="%1:"/>
      <w:numFmt w:val="upperLetter"/>
      <w:start w:val="1"/>
    </w:lvl>
  </w:abstractNum>
  <w:abstractNum w:abstractNumId="62">
    <w:nsid w:val="6590700B"/>
    <w:multiLevelType w:val="hybridMultilevel"/>
    <w:lvl w:ilvl="0">
      <w:lvlJc w:val="left"/>
      <w:lvlText w:val="%1:"/>
      <w:numFmt w:val="upperLetter"/>
      <w:start w:val="1"/>
    </w:lvl>
  </w:abstractNum>
  <w:abstractNum w:abstractNumId="63">
    <w:nsid w:val="15014ACB"/>
    <w:multiLevelType w:val="hybridMultilevel"/>
    <w:lvl w:ilvl="0">
      <w:lvlJc w:val="left"/>
      <w:lvlText w:val="●"/>
      <w:numFmt w:val="bullet"/>
      <w:start w:val="1"/>
    </w:lvl>
  </w:abstractNum>
  <w:abstractNum w:abstractNumId="64">
    <w:nsid w:val="5F5E7FD0"/>
    <w:multiLevelType w:val="hybridMultilevel"/>
    <w:lvl w:ilvl="0">
      <w:lvlJc w:val="left"/>
      <w:lvlText w:val="●"/>
      <w:numFmt w:val="bullet"/>
      <w:start w:val="1"/>
    </w:lvl>
  </w:abstractNum>
  <w:abstractNum w:abstractNumId="65">
    <w:nsid w:val="98A3148"/>
    <w:multiLevelType w:val="hybridMultilevel"/>
    <w:lvl w:ilvl="0">
      <w:lvlJc w:val="left"/>
      <w:lvlText w:val="●"/>
      <w:numFmt w:val="bullet"/>
      <w:start w:val="1"/>
    </w:lvl>
  </w:abstractNum>
  <w:abstractNum w:abstractNumId="66">
    <w:nsid w:val="799D0247"/>
    <w:multiLevelType w:val="hybridMultilevel"/>
    <w:lvl w:ilvl="0">
      <w:lvlJc w:val="left"/>
      <w:lvlText w:val="●"/>
      <w:numFmt w:val="bullet"/>
      <w:start w:val="1"/>
    </w:lvl>
  </w:abstractNum>
  <w:abstractNum w:abstractNumId="67">
    <w:nsid w:val="6B94764"/>
    <w:multiLevelType w:val="hybridMultilevel"/>
    <w:lvl w:ilvl="0">
      <w:lvlJc w:val="left"/>
      <w:lvlText w:val="(%1)"/>
      <w:numFmt w:val="decimal"/>
      <w:start w:val="1"/>
    </w:lvl>
    <w:lvl w:ilvl="1">
      <w:lvlJc w:val="left"/>
      <w:lvlText w:val="(%2)"/>
      <w:numFmt w:val="decimal"/>
      <w:start w:val="2"/>
    </w:lvl>
  </w:abstractNum>
  <w:abstractNum w:abstractNumId="68">
    <w:nsid w:val="42C296BD"/>
    <w:multiLevelType w:val="hybridMultilevel"/>
    <w:lvl w:ilvl="0">
      <w:lvlJc w:val="left"/>
      <w:lvlText w:val="●"/>
      <w:numFmt w:val="bullet"/>
      <w:start w:val="1"/>
    </w:lvl>
  </w:abstractNum>
  <w:abstractNum w:abstractNumId="69">
    <w:nsid w:val="168E121F"/>
    <w:multiLevelType w:val="hybridMultilevel"/>
    <w:lvl w:ilvl="0">
      <w:lvlJc w:val="left"/>
      <w:lvlText w:val="●"/>
      <w:numFmt w:val="bullet"/>
      <w:start w:val="1"/>
    </w:lvl>
    <w:lvl w:ilvl="1">
      <w:lvlJc w:val="left"/>
      <w:lvlText w:val="●"/>
      <w:numFmt w:val="bullet"/>
      <w:start w:val="1"/>
    </w:lvl>
  </w:abstractNum>
  <w:abstractNum w:abstractNumId="70">
    <w:nsid w:val="1EBA5D23"/>
    <w:multiLevelType w:val="hybridMultilevel"/>
    <w:lvl w:ilvl="0">
      <w:lvlJc w:val="left"/>
      <w:lvlText w:val="%1"/>
      <w:numFmt w:val="decimal"/>
      <w:start w:val="1"/>
    </w:lvl>
    <w:lvl w:ilvl="1">
      <w:lvlJc w:val="left"/>
      <w:lvlText w:val="%2."/>
      <w:numFmt w:val="decimal"/>
      <w:start w:val="1"/>
    </w:lvl>
  </w:abstractNum>
  <w:abstractNum w:abstractNumId="71">
    <w:nsid w:val="661E3F1E"/>
    <w:multiLevelType w:val="hybridMultilevel"/>
    <w:lvl w:ilvl="0">
      <w:lvlJc w:val="left"/>
      <w:lvlText w:val="%1."/>
      <w:numFmt w:val="decimal"/>
      <w:start w:val="2"/>
    </w:lvl>
    <w:lvl w:ilvl="1">
      <w:lvlJc w:val="left"/>
      <w:lvlText w:val="%2"/>
      <w:numFmt w:val="decimal"/>
      <w:start w:val="1"/>
    </w:lvl>
  </w:abstractNum>
  <w:abstractNum w:abstractNumId="72">
    <w:nsid w:val="5DC79EA8"/>
    <w:multiLevelType w:val="hybridMultilevel"/>
    <w:lvl w:ilvl="0">
      <w:lvlJc w:val="left"/>
      <w:lvlText w:val="%1."/>
      <w:numFmt w:val="decimal"/>
      <w:start w:val="1"/>
    </w:lvl>
  </w:abstractNum>
  <w:abstractNum w:abstractNumId="73">
    <w:nsid w:val="540A471C"/>
    <w:multiLevelType w:val="hybridMultilevel"/>
    <w:lvl w:ilvl="0">
      <w:lvlJc w:val="left"/>
      <w:lvlText w:val="%1."/>
      <w:numFmt w:val="decimal"/>
      <w:start w:val="2"/>
    </w:lvl>
  </w:abstractNum>
  <w:abstractNum w:abstractNumId="74">
    <w:nsid w:val="7BD3EE7B"/>
    <w:multiLevelType w:val="hybridMultilevel"/>
    <w:lvl w:ilvl="0">
      <w:lvlJc w:val="left"/>
      <w:lvlText w:val="%1."/>
      <w:numFmt w:val="decimal"/>
      <w:start w:val="3"/>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2022-11-15T15:18:12Z</dcterms:created>
  <dcterms:modified xsi:type="dcterms:W3CDTF">2022-11-15T15:18:12Z</dcterms:modified>
</cp:coreProperties>
</file>