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4,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BURTECH ACQUISITION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12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20" w:type="dxa"/>
            <w:vAlign w:val="bottom"/>
            <w:gridSpan w:val="3"/>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001-41139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92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86-2708752</w:t>
            </w:r>
          </w:p>
        </w:tc>
      </w:tr>
      <w:tr>
        <w:trPr>
          <w:trHeight w:val="198"/>
        </w:trPr>
        <w:tc>
          <w:tcPr>
            <w:tcW w:w="3120" w:type="dxa"/>
            <w:vAlign w:val="bottom"/>
            <w:tcBorders>
              <w:top w:val="single" w:sz="8" w:color="auto"/>
            </w:tcBorders>
          </w:tcPr>
          <w:p>
            <w:pPr>
              <w:jc w:val="center"/>
              <w:ind w:left="630"/>
              <w:spacing w:after="0" w:line="198" w:lineRule="exact"/>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State or other jurisdiction</w:t>
            </w: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1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920" w:type="dxa"/>
            <w:vAlign w:val="bottom"/>
            <w:tcBorders>
              <w:top w:val="single" w:sz="8" w:color="auto"/>
            </w:tcBorders>
          </w:tcPr>
          <w:p>
            <w:pPr>
              <w:jc w:val="center"/>
              <w:ind w:right="5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of incorporation)</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3529 Porter St</w:t>
            </w:r>
          </w:p>
        </w:tc>
        <w:tc>
          <w:tcPr>
            <w:tcW w:w="2920" w:type="dxa"/>
            <w:vAlign w:val="bottom"/>
          </w:tcPr>
          <w:p>
            <w:pPr>
              <w:spacing w:after="0"/>
              <w:rPr>
                <w:sz w:val="24"/>
                <w:szCs w:val="24"/>
                <w:color w:val="auto"/>
              </w:rPr>
            </w:pPr>
          </w:p>
        </w:tc>
      </w:tr>
      <w:tr>
        <w:trPr>
          <w:trHeight w:val="220"/>
        </w:trPr>
        <w:tc>
          <w:tcPr>
            <w:tcW w:w="3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Washington, DC 20016</w:t>
            </w:r>
          </w:p>
        </w:tc>
        <w:tc>
          <w:tcPr>
            <w:tcW w:w="2920" w:type="dxa"/>
            <w:vAlign w:val="bottom"/>
          </w:tcPr>
          <w:p>
            <w:pPr>
              <w:spacing w:after="0"/>
              <w:rPr>
                <w:sz w:val="19"/>
                <w:szCs w:val="19"/>
                <w:color w:val="auto"/>
              </w:rPr>
            </w:pPr>
          </w:p>
        </w:tc>
      </w:tr>
      <w:tr>
        <w:trPr>
          <w:trHeight w:val="234"/>
        </w:trPr>
        <w:tc>
          <w:tcPr>
            <w:tcW w:w="3120" w:type="dxa"/>
            <w:vAlign w:val="bottom"/>
          </w:tcPr>
          <w:p>
            <w:pPr>
              <w:spacing w:after="0"/>
              <w:rPr>
                <w:sz w:val="20"/>
                <w:szCs w:val="20"/>
                <w:color w:val="auto"/>
              </w:rPr>
            </w:pPr>
          </w:p>
        </w:tc>
        <w:tc>
          <w:tcPr>
            <w:tcW w:w="52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920" w:type="dxa"/>
            <w:vAlign w:val="bottom"/>
          </w:tcPr>
          <w:p>
            <w:pPr>
              <w:spacing w:after="0"/>
              <w:rPr>
                <w:sz w:val="20"/>
                <w:szCs w:val="20"/>
                <w:color w:val="auto"/>
              </w:rPr>
            </w:pPr>
          </w:p>
        </w:tc>
      </w:tr>
      <w:tr>
        <w:trPr>
          <w:trHeight w:val="414"/>
        </w:trPr>
        <w:tc>
          <w:tcPr>
            <w:tcW w:w="3120" w:type="dxa"/>
            <w:vAlign w:val="bottom"/>
          </w:tcPr>
          <w:p>
            <w:pPr>
              <w:spacing w:after="0"/>
              <w:rPr>
                <w:sz w:val="24"/>
                <w:szCs w:val="24"/>
                <w:color w:val="auto"/>
              </w:rPr>
            </w:pPr>
          </w:p>
        </w:tc>
        <w:tc>
          <w:tcPr>
            <w:tcW w:w="442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(202) 600-5757</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34"/>
        </w:trPr>
        <w:tc>
          <w:tcPr>
            <w:tcW w:w="3120" w:type="dxa"/>
            <w:vAlign w:val="bottom"/>
          </w:tcPr>
          <w:p>
            <w:pPr>
              <w:spacing w:after="0"/>
              <w:rPr>
                <w:sz w:val="20"/>
                <w:szCs w:val="20"/>
                <w:color w:val="auto"/>
              </w:rPr>
            </w:pPr>
          </w:p>
        </w:tc>
        <w:tc>
          <w:tcPr>
            <w:tcW w:w="520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2920" w:type="dxa"/>
            <w:vAlign w:val="bottom"/>
          </w:tcPr>
          <w:p>
            <w:pPr>
              <w:spacing w:after="0"/>
              <w:rPr>
                <w:sz w:val="20"/>
                <w:szCs w:val="20"/>
                <w:color w:val="auto"/>
              </w:rPr>
            </w:pPr>
          </w:p>
        </w:tc>
      </w:tr>
      <w:tr>
        <w:trPr>
          <w:trHeight w:val="414"/>
        </w:trPr>
        <w:tc>
          <w:tcPr>
            <w:tcW w:w="3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920" w:type="dxa"/>
            <w:vAlign w:val="bottom"/>
          </w:tcPr>
          <w:p>
            <w:pPr>
              <w:spacing w:after="0"/>
              <w:rPr>
                <w:sz w:val="24"/>
                <w:szCs w:val="24"/>
                <w:color w:val="auto"/>
              </w:rPr>
            </w:pPr>
          </w:p>
        </w:tc>
      </w:tr>
      <w:tr>
        <w:trPr>
          <w:trHeight w:val="234"/>
        </w:trPr>
        <w:tc>
          <w:tcPr>
            <w:tcW w:w="3120" w:type="dxa"/>
            <w:vAlign w:val="bottom"/>
          </w:tcPr>
          <w:p>
            <w:pPr>
              <w:spacing w:after="0"/>
              <w:rPr>
                <w:sz w:val="20"/>
                <w:szCs w:val="20"/>
                <w:color w:val="auto"/>
              </w:rPr>
            </w:pPr>
          </w:p>
        </w:tc>
        <w:tc>
          <w:tcPr>
            <w:tcW w:w="52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2920" w:type="dxa"/>
            <w:vAlign w:val="bottom"/>
          </w:tcPr>
          <w:p>
            <w:pPr>
              <w:spacing w:after="0"/>
              <w:rPr>
                <w:sz w:val="20"/>
                <w:szCs w:val="20"/>
                <w:color w:val="auto"/>
              </w:rPr>
            </w:pPr>
          </w:p>
        </w:tc>
      </w:tr>
    </w:tbl>
    <w:p>
      <w:pPr>
        <w:spacing w:after="0" w:line="198"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860" w:hanging="3552"/>
        <w:spacing w:after="0" w:line="498" w:lineRule="auto"/>
        <w:tabs>
          <w:tab w:leader="none" w:pos="35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45"/>
        </w:trPr>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8"/>
        </w:trPr>
        <w:tc>
          <w:tcPr>
            <w:tcW w:w="45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w w:val="99"/>
              </w:rPr>
              <w:t>Units, each consisting of one share of Class A Common Stock</w:t>
            </w:r>
          </w:p>
        </w:tc>
        <w:tc>
          <w:tcPr>
            <w:tcW w:w="120" w:type="dxa"/>
            <w:vAlign w:val="bottom"/>
          </w:tcPr>
          <w:p>
            <w:pPr>
              <w:spacing w:after="0"/>
              <w:rPr>
                <w:sz w:val="17"/>
                <w:szCs w:val="17"/>
                <w:color w:val="auto"/>
              </w:rPr>
            </w:pPr>
          </w:p>
        </w:tc>
        <w:tc>
          <w:tcPr>
            <w:tcW w:w="22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BRKHU</w:t>
            </w:r>
          </w:p>
        </w:tc>
        <w:tc>
          <w:tcPr>
            <w:tcW w:w="120" w:type="dxa"/>
            <w:vAlign w:val="bottom"/>
          </w:tcPr>
          <w:p>
            <w:pPr>
              <w:spacing w:after="0"/>
              <w:rPr>
                <w:sz w:val="17"/>
                <w:szCs w:val="17"/>
                <w:color w:val="auto"/>
              </w:rPr>
            </w:pPr>
          </w:p>
        </w:tc>
        <w:tc>
          <w:tcPr>
            <w:tcW w:w="4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one Redeemable Warrant</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BRKH</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 each exercisable for one share of Class A Common</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BRKHW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for $11.50 per share</w:t>
            </w: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disclosed, on December 22, 2023, BurTech Acquisition Corp. ( “</w:t>
      </w:r>
      <w:r>
        <w:rPr>
          <w:rFonts w:ascii="Times New Roman" w:cs="Times New Roman" w:eastAsia="Times New Roman" w:hAnsi="Times New Roman"/>
          <w:sz w:val="18"/>
          <w:szCs w:val="18"/>
          <w:b w:val="1"/>
          <w:bCs w:val="1"/>
          <w:color w:val="auto"/>
        </w:rPr>
        <w:t>BurTech</w:t>
      </w:r>
      <w:r>
        <w:rPr>
          <w:rFonts w:ascii="Times New Roman" w:cs="Times New Roman" w:eastAsia="Times New Roman" w:hAnsi="Times New Roman"/>
          <w:sz w:val="18"/>
          <w:szCs w:val="18"/>
          <w:color w:val="auto"/>
        </w:rPr>
        <w:t>”), BurTech Merger Sub Inc., a Delaware corporation and a direct, wholly owned subsidiary of BurTech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Blaize, Inc., a Delaware corporation (“</w:t>
      </w:r>
      <w:r>
        <w:rPr>
          <w:rFonts w:ascii="Times New Roman" w:cs="Times New Roman" w:eastAsia="Times New Roman" w:hAnsi="Times New Roman"/>
          <w:sz w:val="18"/>
          <w:szCs w:val="18"/>
          <w:b w:val="1"/>
          <w:bCs w:val="1"/>
          <w:color w:val="auto"/>
        </w:rPr>
        <w:t>Blaize</w:t>
      </w:r>
      <w:r>
        <w:rPr>
          <w:rFonts w:ascii="Times New Roman" w:cs="Times New Roman" w:eastAsia="Times New Roman" w:hAnsi="Times New Roman"/>
          <w:sz w:val="18"/>
          <w:szCs w:val="18"/>
          <w:color w:val="auto"/>
        </w:rPr>
        <w:t>”), and for the limited purposes set forth therein, Burkhan Capital LLC, a Delaware limited liability company and affiliate of BurTech (“</w:t>
      </w:r>
      <w:r>
        <w:rPr>
          <w:rFonts w:ascii="Times New Roman" w:cs="Times New Roman" w:eastAsia="Times New Roman" w:hAnsi="Times New Roman"/>
          <w:sz w:val="18"/>
          <w:szCs w:val="18"/>
          <w:b w:val="1"/>
          <w:bCs w:val="1"/>
          <w:color w:val="auto"/>
        </w:rPr>
        <w:t>Burkhan</w:t>
      </w:r>
      <w:r>
        <w:rPr>
          <w:rFonts w:ascii="Times New Roman" w:cs="Times New Roman" w:eastAsia="Times New Roman" w:hAnsi="Times New Roman"/>
          <w:sz w:val="18"/>
          <w:szCs w:val="18"/>
          <w:color w:val="auto"/>
        </w:rPr>
        <w:t>”), entered into an Agreement and Plan of Merger (as amended on April 22, 2024, October 24, 2024 and November 21, 2024, and as may be further amended and/or amended and restated,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pursuant to which Merger Sub will merge (the “Merger”) with and into Blaize, whereupon the separate corporate existence of Merger Sub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cease and Blaize will be the surviving company and continue in existence as a wholly owned subsidiary of BurTech, on the terms and subject to the conditions set forth therein (collectively with the other transactions described in the Merger 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In connection with the consummation of the Business Combination, BurTech will be renamed “Blaize Holdings, Inc.” The combined company after the Business Combination is referred to in the proxy statement/prospectus as “New Blaize.”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4, 2024, BurTech issued a press release announcing that in order to extend the time to complete its Business Combination, BurTech will be holding a special annual meeting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on December 9, 2024 to extend the time to complete the Business Combination, from December 15, until May 15, 2025, on a month-to-month basis by depositing into the Trust Account $0.05 per non-redeemed share of Class A Common Stock.</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November 29, 2024, the redemption price per Class A Common Stock was approximately $11.49 (which is expected to be the same approximate amount on December 5, 2024, two (2) business days prior to the scheduled date of the Special Annual Meeting), based on the aggregate amount on deposit in the Trust Account which was $49,932,574.13 (including interest), after deducting approximately $621,274 to pay allowable taxes, and divided by the total number of issued and outstanding public shares of Class A Common Stock. The closing price of the Class A Common Stock on Nasdaq on December 2, 2024 was $11.50.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as Exhibit 99.1 to this Current Report on Form 8-K and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U.S.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Section 21E of the U.S.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are based on beliefs and assumptions and on information currently available to BurTech and Blaize including statements regarding Blaize’s business plans and growth strategies, market opportunities, and financial prospects.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the risk that the previously disclosed proposed business combination (the “proposed transaction”) may not be completed in a timely manner or at all, which may adversely affect the price of BurTech’s securities; (ii) the risk that the proposed transaction may not be completed by BurTech’s business combination deadline and the potential failure to obtain an extension of the business combination deadline if sought by BurTech; (iii) the failure to satisfy the conditions to the consummation of the proposed transaction, including the approval of the proposed transaction by BurTech’s stockholders, the satisfaction of the minimum aggregate transaction proceeds amount following redemptions by BurTech’s public stockholders and the receipt of certain governmental and regulatory approvals; (iv) the failure to obtain adequate financing to complete the proposed transaction and to support the future working capital needs of Blaize and the combined company; (v) the effect of the pendency of the proposed transaction on Blaize’s business relationships, performance, and business generally; (vi) risks that the proposed transaction disrupts current plans of Blaize and potential difficulties in the retention of Blaize’s employees as a result of the proposed transaction; (vii) the outcome of any legal proceedings that may be instituted against BurTech or Blaize related to the merger agreement and the proposed transaction; (viii) changes to the proposed structure of the proposed transaction that may be required or appropriate as a result of applicable laws or regulations or as a condition to obtaining regulatory approval of the proposed transaction; (ix) the ability to maintain the listing of BurTech’s securities on Nasdaq; (x) the price of BurTech’s securities, including volatility resulting from changes in the competitive and highly regulated industries in which Blaize operates, variations in performance across competitors, changes in laws and regulations affecting Blaize’s business and changes in the combined capital structure; (xi) the ability to implement business plans, forecasts, and other expectations after the completion of the proposed transaction, including the possibility of cost overruns or unanticipated expenses in development programs, and the ability to identify and realize additional opportunities; (xii) the enforceability of Blaize’s intellectual property, including its patents, and the potential infringement on the intellectual property rights of others, cyber security risks or potential breaches of data security;</w:t>
      </w:r>
    </w:p>
    <w:p>
      <w:pPr>
        <w:spacing w:after="0" w:line="11" w:lineRule="exact"/>
        <w:rPr>
          <w:sz w:val="20"/>
          <w:szCs w:val="20"/>
          <w:color w:val="auto"/>
        </w:rPr>
      </w:pPr>
    </w:p>
    <w:p>
      <w:pPr>
        <w:jc w:val="both"/>
        <w:ind w:firstLine="8"/>
        <w:spacing w:after="0" w:line="251" w:lineRule="auto"/>
        <w:tabs>
          <w:tab w:leader="none" w:pos="41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significant expenses to remediate, or damage to Blaize’s reputation as a result of, any defects in Blaize’s products; and (xiv) other risks and uncertainties set forth in the section entitled “Risk Factors” and “Cautionary Note Regarding Forward-Looking Statements” in BurTech’s Annual Reports on Form 10-K, Quarterly Reports on Form 10-Q and Current Reports on Form 8-K that are available on the website of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at www.sec.gov and other documents filed, or to be filed with the SEC by BurTech, including the Registration Statement (defined below). The foregoing list of factors is not exhaustive. There may be additional risks that neither BurTech nor Blaize presently know or that BurTech or Blaize currently believe are immaterial that could also cause actual results to differ from those contained in the forward-looking statements. You should carefully consider the foregoing factors and the other risks and uncertainties that will be described in the definitive proxy statement to be filed by BurTech with the SEC, including those under “Risk Factors” therein, and other documents filed by BurTech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BurTech and Blaize assume no obligation and, except as required by law, do not intend to update or revise these forward-looking statements, whether as a result of new information, future events, or otherwise. Neither BurTech nor Blaize gives any assurance that either BurTech or Blaize will achieve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BurTech has filed with the SEC a Registration Statement on Form S-4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Registration Statement was declared effective on December 2, 2024. BurTech will mail a definitive proxy statement/prospectus relating to the proposed transaction to its stockholders. This press release does not contain all the information that should be considered concerning the proposed transaction and is not intended to form the basis of any investment decision or any other decision in respect of the proposed transaction. BurTech may file other documents regarding the proposed transaction with the SEC, and BurTech’s stockholders and other interested persons are advised to read, when available, the preliminary proxy statement/prospectus and the amendments thereto, the definitive proxy statement/prospectus and the other documents filed in connection with the proposed transaction, as these materials will contain important information about Blaize, BurTech and the proposed transaction. When available, the definitive proxy statement/prospectus and other relevant materials for the proposed transaction will be mailed to stockholders of BurTech as of a record date to be established for voting on the proposed transaction and the other matters to be voted upon at a meeting of BurTech’s stockholders to be held to approve the proposed transaction and such other matters. Such stockholders will also be able to obtain copies of the preliminary proxy statement/prospectus, the definitive proxy statement/prospectus and other documents filed with the SEC, without charge, once available, at the SEC’s website at www.sec.gov, or by directing a request to BurTech Acquisition Corp., 1300 Pennsylvania Avenue, Suite 700, New York, NY 20006, Attention: Roman Livson, Chief Financial Officer.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BurTech, Blaize, and their respective directors, executive officers, other members of management, and employees, under SEC rules, may be deemed to be participants in the solicitation of proxies from BurTech’s stockholders in connection with the proposed transaction. Information regarding the persons who may, under SEC rules, be deemed participants in the solicitation of BurTech’s stockholders in connection with the proposed transaction, including the names of such persons and a description of their respective interests, is set forth in BurTech’s Annual Reports on Form 10-K, Quarterly Reports on Form 10-Q and Current Reports on Form 8-K. Additional information regarding the interests of those persons and other persons who may be deemed participants in the proposed transaction may be obtained by reading the Registration Statement regarding the proposed transaction when it becomes available. Stockholders will be able to obtain copies of the documents described in this paragraph that are filed with the SEC, once available, without charge at the SEC’s website at www.sec.gov, or by directing a request to BurTech Acquisition Corp., 1300 Pennsylvania Avenue, Suite 700, New York, NY 20006, Attention: Roman Livson, Chief Financial Officer.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press release is not a proxy statement or solicitation of a proxy, consent or authorization with respect to any securities or in respect of the proposed transaction and does not constitute an offer to sell or a solicitation of an offer to buy any securities of BurTech or Blaize,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being filed herewith: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880" w:type="dxa"/>
            <w:vAlign w:val="bottom"/>
          </w:tcPr>
          <w:p>
            <w:pPr>
              <w:spacing w:after="0"/>
              <w:rPr>
                <w:sz w:val="21"/>
                <w:szCs w:val="21"/>
                <w:color w:val="auto"/>
              </w:rPr>
            </w:pPr>
          </w:p>
        </w:tc>
        <w:tc>
          <w:tcPr>
            <w:tcW w:w="7240" w:type="dxa"/>
            <w:vAlign w:val="bottom"/>
          </w:tcPr>
          <w:p>
            <w:pPr>
              <w:jc w:val="right"/>
              <w:ind w:right="451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90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5"/>
                <w:szCs w:val="15"/>
                <w:color w:val="auto"/>
              </w:rPr>
            </w:pPr>
          </w:p>
        </w:tc>
        <w:tc>
          <w:tcPr>
            <w:tcW w:w="1012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December 4, 2024.</w:t>
            </w:r>
          </w:p>
        </w:tc>
      </w:tr>
      <w:tr>
        <w:trPr>
          <w:trHeight w:val="20"/>
        </w:trPr>
        <w:tc>
          <w:tcPr>
            <w:tcW w:w="3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gridSpan w:val="2"/>
          </w:tcPr>
          <w:p>
            <w:pPr>
              <w:jc w:val="right"/>
              <w:ind w:right="5490"/>
              <w:spacing w:after="0"/>
              <w:rPr>
                <w:sz w:val="20"/>
                <w:szCs w:val="20"/>
                <w:color w:val="auto"/>
              </w:rPr>
            </w:pPr>
            <w:r>
              <w:rPr>
                <w:rFonts w:ascii="Times New Roman" w:cs="Times New Roman" w:eastAsia="Times New Roman" w:hAnsi="Times New Roman"/>
                <w:sz w:val="22"/>
                <w:szCs w:val="22"/>
                <w:color w:val="auto"/>
              </w:rPr>
              <w:t>2</w:t>
            </w: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4, 2024</w:t>
      </w: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BurTech Acquisition Corp. Announces Additional $0.05/share per month contribution into the trust in connection with the meeting to approve the extension of the Company.</w:t>
      </w:r>
    </w:p>
    <w:p>
      <w:pPr>
        <w:spacing w:after="0" w:line="15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b w:val="1"/>
          <w:bCs w:val="1"/>
          <w:color w:val="auto"/>
        </w:rPr>
        <w:t xml:space="preserve">Washington, DC – December 4, 2024 </w:t>
      </w:r>
      <w:r>
        <w:rPr>
          <w:rFonts w:ascii="Times New Roman" w:cs="Times New Roman" w:eastAsia="Times New Roman" w:hAnsi="Times New Roman"/>
          <w:sz w:val="18"/>
          <w:szCs w:val="18"/>
          <w:color w:val="auto"/>
        </w:rPr>
        <w:t>– BurTech Acquisition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announced today that in connection with the special shareholder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the Company to approve the extension scheduled for December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2024, the Company filed a proxy supplement on December 3, 2024.</w:t>
      </w:r>
    </w:p>
    <w:p>
      <w:pPr>
        <w:spacing w:after="0" w:line="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supplement amended the proposal to amend BurTech’s investment management trust agreement, dated as of December 15, 2021, as amended (the “</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 by and between the Company and Continental Stock Transfer &amp; Trust Company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allowing the Company to extend the Extended Termination Date from, December 15, 2024 until May 15, 2025, on a month-to-month basis (each such monthly extension, an “</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by depositing into the Trust Account $0.05 per non-redeemed share of Class A Common Stock (each an “</w:t>
      </w:r>
      <w:r>
        <w:rPr>
          <w:rFonts w:ascii="Times New Roman" w:cs="Times New Roman" w:eastAsia="Times New Roman" w:hAnsi="Times New Roman"/>
          <w:sz w:val="18"/>
          <w:szCs w:val="18"/>
          <w:b w:val="1"/>
          <w:bCs w:val="1"/>
          <w:color w:val="auto"/>
        </w:rPr>
        <w:t>Extension Payment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November 29, 2024, the redemption price per Class A Common Stock was approximately $11.49 (which is expected to be the same approximate amount on December 5, 2024, two (2) business days prior to the scheduled date of the Special Annual Meeting), based on the aggregate amount on deposit in the Trust Account which was $49,932,574.13 (including interest), after deducting approximately $621,274 to pay allowable taxes, and divided by the total number of issued and outstanding public shares of Class A Common Stock. The closing price of the Class A Common Stock on Nasdaq on December 2, 2024 was $11.50.</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file a current report on Form 8-K with each monthly Extension Period, and will contribute the $0.05 per non-redeemed public share per month to extend the time to complete the Proposed Business Combination until May 15, 2025 on a month-to-month basis, commencing on the 15th day of each monthly Extension Period until the earlier of (x) the date of the special meeting held in connection with a stockholder vote to approve its initial business combination; (y) the last Extension Period for which an Extension Payment is made. The funds will continue to be held in the Trust Account which will maintain the investment of the Company’s trust assets in money market investment products.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On December 2, 2024,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declared effective a registration statement on Form S-4 relating to the business combination. The special shareholder meeting of the Company to approve the business combination is scheduled to be held on December 23, 2024.</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Stockholders will have the opportunity to vote on the Business Combination in a separate special stockholders’ meeting for that purpose, and can redeem their shares of Class A Common Stock at that time. The special meeting to approve the Business Combination is scheduled to take place on December 23, 2024, details of which will follow in a separate press release and in a definitive proxy statement that will be mailed to all holders of record of shares of BurTech’s Class A Common Stock at the close of business on November 12, 2024, the “Record Date”.</w:t>
      </w:r>
    </w:p>
    <w:p>
      <w:pPr>
        <w:spacing w:after="0" w:line="184"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shareholders will be able to redeem their shares in connection with either the first meeting scheduled for December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2024 or the second meeting scheduled for December 23, 2024.</w:t>
      </w:r>
    </w:p>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Company’s shares are listed on the Nasdaq Global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ticker symbol “BRKH”. The Company is a blank check company whose business purpose is to effectuate a merger, capital stock exchange, asset acquisition, stock purchase, reorganization or similar business combination with one or more businesses or entities. The Company is in the process of completing a business combination with Blaize, Inc.</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any of the securities described herein, nor shall there be any sale of these securities in any state or jurisdiction in which such offer, solicitation or sale would be unlawful prior to registration or qualification under the securities laws of any such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BurTech and Blaize, including statements regarding Blaize’s business plans and growth strategies, market opportunities, and financial prospects.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the risk that the previously disclosed proposed business combination (the “proposed transaction”) may not be completed in a timely manner or at all, which may adversely affect the price of BurTech’s securities; (ii) the risk that the proposed transaction may not be completed by BurTech’s business combination deadline and the potential failure to obtain an extension of the business combination deadline if sought by BurTech; (iii) the failure to satisfy the conditions to the consummation of the proposed transaction, including the approval of the proposed transaction by BurTech’s stockholders, the satisfaction of the minimum aggregate transaction proceeds amount following redemptions by BurTech’s public stockholders and the receipt of certain governmental and regulatory approvals; (iv) the failure to obtain adequate financing to complete the proposed transaction and to support the future working capital needs of Blaize and the combined company; (v) the effect of the pendency of the proposed transaction on Blaize’s business relationships, performance, and business generally; (vi) risks that the proposed transaction disrupts current plans of Blaize and potential difficulties in the retention of Blaize’s employees as a result of the proposed transaction; (vii) the outcome of any legal proceedings that may be instituted against BurTech or Blaize related to the merger agreement and the proposed transaction; (viii) changes to the proposed structure of the proposed transaction that may be required or appropriate as a result of applicable laws or regulations or as a condition to obtaining regulatory approval of the proposed transaction; (ix) the ability to maintain the listing of BurTech’s securities on Nasdaq; (x) the price of BurTech’s securities, including volatility resulting from changes in the competitive and highly regulated industries in which Blaize operates, variations in performance across competitors, changes in laws and regulations affecting Blaize’s business and changes in the combined capital structure; (xi) the ability to implement business plans, forecasts, and other expectations after the completion of the proposed transaction, including the possibility of cost overruns or unanticipated expenses in development programs, and the ability to identify and realize additional opportunities; (xii) the enforceability of Blaize’s intellectual property, including its patents, and the potential infringement on the intellectual property rights of others, cyber security risks or potential breaches of data security;</w:t>
      </w:r>
    </w:p>
    <w:p>
      <w:pPr>
        <w:spacing w:after="0" w:line="7" w:lineRule="exact"/>
        <w:rPr>
          <w:sz w:val="20"/>
          <w:szCs w:val="20"/>
          <w:color w:val="auto"/>
        </w:rPr>
      </w:pPr>
    </w:p>
    <w:p>
      <w:pPr>
        <w:jc w:val="both"/>
        <w:ind w:firstLine="8"/>
        <w:spacing w:after="0" w:line="251" w:lineRule="auto"/>
        <w:tabs>
          <w:tab w:leader="none" w:pos="4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significant expenses to remediate, or damage to Blaize’s reputation as a result of, any defects in Blaize’s products; and (xiv) other risks and uncertainties set forth in the section entitled “Risk Factors” and “Cautionary Note Regarding Forward-Looking Statements” in BurTech’s Annual Reports on Form 10-K, Quarterly Reports on Form 10-Q and Current Reports on Form 8-K that are available on the website of the Securities and Exchange Commission (the “SEC”) at www.sec.gov and other documents filed, or to be filed with the SEC by BurTech, including the Registration Statement. The foregoing list of factors is not exhaustive. There may be additional risks that neither BurTech nor Blaize presently know or that BurTech or Blaize currently believe are immaterial that could also cause actual results to differ from those contained in the forward-looking statements. You should carefully consider the foregoing factors and the other risks and uncertainties that will be described in the definitive proxy statement to be filed by BurTech with the SEC, including those under “Risk Factors” therein, and other documents filed by BurTech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BurTech and Blaize assume no obligation and, except as required by law, do not intend to update or revise these forward-looking statements, whether as a result of new information, future events, or otherwise. Neither BurTech nor Blaize gives any assurance that either BurTech or Blaize will achieve its expectations.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BurTech has filed with the SEC a Registration Statement on Form S-4 (the “Registration Statement”), and the Registration Statement was declared effective on December 2, 2024. BurTech will mail a definitive proxy statement/prospectus relating to the proposed transaction to its stockholders. This press release does not contain all the information that should be considered concerning the proposed transaction and is not intended to form the basis of any investment decision or any other decision in respect of the proposed transaction. BurTech may file other documents regarding the proposed transaction with the SEC, and BurTech’s stockholders and other interested persons are advised to read, when available, the preliminary proxy statement/prospectus and the amendments thereto, the definitive proxy statement/prospectus and the other documents filed in connection with the proposed transaction, as these materials will contain important information about Blaize, BurTech and the proposed transaction. When available, the definitive proxy statement/prospectus and other relevant materials for the proposed transaction will be mailed to stockholders of BurTech as of a record date to be established for voting on the proposed transaction and the other matters to be voted upon at a meeting of BurTech’s stockholders to be held to approve the proposed transaction and such other matters. Such stockholders will also be able to obtain copies of the preliminary proxy statement/prospectus, the definitive proxy statement/prospectus and other documents filed with the SEC, without charge, once available, at the SEC’s website at www.sec.gov, or by directing a request to BurTech Acquisition Corp., 1300 Pennsylvania Avenue, Suite 700, New York, NY 20006, Attention: Roman Livson,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BurTech, Blaize, and their respective directors, executive officers, other members of management, and employees, under SEC rules, may be deemed to be participants in the solicitation of proxies from BurTech’s stockholders in connection with the proposed transaction. Information regarding the persons who may, under SEC rules, be deemed participants in the solicitation of BurTech’s stockholders in connection with the proposed transaction, including the names of such persons and a description of their respective interests, is set forth in BurTech’s Annual Reports on Form 10-K, Quarterly Reports on Form 10-Q and Current Reports on Form 8-K. Additional information regarding the interests of those persons and other persons who may be deemed participants in the proposed transaction may be obtained by reading the Registration Statement regarding the proposed transaction when it becomes available. Stockholders will be able to obtain copies of the documents described in this paragraph that are filed with the SEC, once available, without charge at the SEC’s website at www.sec.gov, or by directing a request to BurTech Acquisition Corp., 1300 Pennsylvania Avenue, Suite 700, Washington, DC 20006, Attention: Roman Livson, Chief Financial Officer.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press release is not a proxy statement or solicitation of a proxy, consent or authorization with respect to any securities or in respect of the proposed transaction and does not constitute an offer to sell or a solicitation of an offer to buy any securities of BurTech or Blaize,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Roman Livson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1300 Pennsylvania Avenue, Suite 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Washington, DC 20006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3"/>
    </w:lvl>
  </w:abstractNum>
  <w:abstractNum w:abstractNumId="2">
    <w:nsid w:val="19495CFF"/>
    <w:multiLevelType w:val="hybridMultilevel"/>
    <w:lvl w:ilvl="0">
      <w:lvlJc w:val="left"/>
      <w:lvlText w:val="(%1)"/>
      <w:numFmt w:val="lowerRoman"/>
      <w:start w:val="1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2024-12-04T08:07:59Z</dcterms:created>
  <dcterms:modified xsi:type="dcterms:W3CDTF">2024-12-04T08:07:59Z</dcterms:modified>
</cp:coreProperties>
</file>