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61"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2"/>
          <w:szCs w:val="22"/>
          <w:b w:val="1"/>
          <w:bCs w:val="1"/>
          <w:color w:val="auto"/>
        </w:rPr>
        <w:t>FOR REGISTRATION OF CERTAIN CLASSES OF SECURITIES</w:t>
      </w:r>
    </w:p>
    <w:p>
      <w:pPr>
        <w:spacing w:after="0" w:line="10"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21"/>
          <w:szCs w:val="21"/>
          <w:b w:val="1"/>
          <w:bCs w:val="1"/>
          <w:color w:val="auto"/>
        </w:rPr>
        <w:t>PURSUANT TO SECTION 12(b) OR 12(g) OF THE SECURITIES EXCHANGE ACT OF 1934</w:t>
      </w:r>
    </w:p>
    <w:p>
      <w:pPr>
        <w:spacing w:after="0" w:line="214"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32"/>
          <w:szCs w:val="32"/>
          <w:b w:val="1"/>
          <w:bCs w:val="1"/>
          <w:color w:val="auto"/>
        </w:rPr>
        <w:t>Blaize Holdings, Inc.</w:t>
      </w:r>
    </w:p>
    <w:p>
      <w:pPr>
        <w:spacing w:after="0" w:line="59"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0480"/>
          </w:cols>
          <w:pgMar w:left="320" w:top="1440" w:right="1099" w:bottom="1440" w:gutter="0" w:footer="0" w:header="0"/>
        </w:sectPr>
      </w:pPr>
    </w:p>
    <w:p>
      <w:pPr>
        <w:spacing w:after="0" w:line="269"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86-2708752</w:t>
      </w:r>
    </w:p>
    <w:p>
      <w:pPr>
        <w:spacing w:after="0" w:line="65" w:lineRule="exact"/>
        <w:rPr>
          <w:sz w:val="24"/>
          <w:szCs w:val="24"/>
          <w:color w:val="auto"/>
        </w:rPr>
      </w:pPr>
    </w:p>
    <w:p>
      <w:pPr>
        <w:sectPr>
          <w:pgSz w:w="11900" w:h="16838" w:orient="portrait"/>
          <w:cols w:equalWidth="0" w:num="2">
            <w:col w:w="7820" w:space="720"/>
            <w:col w:w="1940"/>
          </w:cols>
          <w:pgMar w:left="320" w:top="1440" w:right="1099" w:bottom="1440" w:gutter="0" w:footer="0" w:header="0"/>
          <w:type w:val="continuous"/>
        </w:sectPr>
      </w:pPr>
    </w:p>
    <w:p>
      <w:pPr>
        <w:jc w:val="center"/>
        <w:ind w:right="20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7"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22" w:lineRule="exact"/>
        <w:rPr>
          <w:sz w:val="24"/>
          <w:szCs w:val="24"/>
          <w:color w:val="auto"/>
        </w:rPr>
      </w:pPr>
    </w:p>
    <w:p>
      <w:pPr>
        <w:sectPr>
          <w:pgSz w:w="11900" w:h="16838" w:orient="portrait"/>
          <w:cols w:equalWidth="0" w:num="2">
            <w:col w:w="6940" w:space="720"/>
            <w:col w:w="2820"/>
          </w:cols>
          <w:pgMar w:left="320" w:top="1440" w:right="1099" w:bottom="1440" w:gutter="0" w:footer="0" w:header="0"/>
          <w:type w:val="continuous"/>
        </w:sectPr>
      </w:pP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00" w:type="dxa"/>
            <w:vAlign w:val="bottom"/>
            <w:gridSpan w:val="3"/>
          </w:tcPr>
          <w:p>
            <w:pPr>
              <w:jc w:val="center"/>
              <w:ind w:right="880"/>
              <w:spacing w:after="0"/>
              <w:rPr>
                <w:sz w:val="20"/>
                <w:szCs w:val="20"/>
                <w:color w:val="auto"/>
              </w:rPr>
            </w:pPr>
            <w:r>
              <w:rPr>
                <w:rFonts w:ascii="Times New Roman" w:cs="Times New Roman" w:eastAsia="Times New Roman" w:hAnsi="Times New Roman"/>
                <w:sz w:val="20"/>
                <w:szCs w:val="20"/>
                <w:color w:val="auto"/>
                <w:w w:val="98"/>
              </w:rPr>
              <w:t>4659 Golden Foothill Parkway, Suite 206</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95762</w:t>
            </w:r>
          </w:p>
        </w:tc>
        <w:tc>
          <w:tcPr>
            <w:tcW w:w="2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600" w:type="dxa"/>
            <w:vAlign w:val="bottom"/>
            <w:gridSpan w:val="3"/>
          </w:tcPr>
          <w:p>
            <w:pPr>
              <w:jc w:val="center"/>
              <w:ind w:right="880"/>
              <w:spacing w:after="0"/>
              <w:rPr>
                <w:sz w:val="20"/>
                <w:szCs w:val="20"/>
                <w:color w:val="auto"/>
              </w:rPr>
            </w:pPr>
            <w:r>
              <w:rPr>
                <w:rFonts w:ascii="Times New Roman" w:cs="Times New Roman" w:eastAsia="Times New Roman" w:hAnsi="Times New Roman"/>
                <w:sz w:val="20"/>
                <w:szCs w:val="20"/>
                <w:b w:val="1"/>
                <w:bCs w:val="1"/>
                <w:color w:val="auto"/>
                <w:w w:val="98"/>
              </w:rPr>
              <w:t>El Dorado Hills, California</w:t>
            </w:r>
          </w:p>
        </w:tc>
        <w:tc>
          <w:tcPr>
            <w:tcW w:w="1720" w:type="dxa"/>
            <w:vAlign w:val="bottom"/>
            <w:vMerge w:val="continue"/>
          </w:tcPr>
          <w:p>
            <w:pPr>
              <w:spacing w:after="0"/>
              <w:rPr>
                <w:sz w:val="22"/>
                <w:szCs w:val="22"/>
                <w:color w:val="auto"/>
              </w:rPr>
            </w:pPr>
          </w:p>
        </w:tc>
        <w:tc>
          <w:tcPr>
            <w:tcW w:w="2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2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8"/>
              </w:rPr>
              <w:t>(Zip Code)</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tc>
        <w:tc>
          <w:tcPr>
            <w:tcW w:w="1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56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4420" w:type="dxa"/>
            <w:vAlign w:val="bottom"/>
            <w:gridSpan w:val="3"/>
          </w:tcPr>
          <w:p>
            <w:pPr>
              <w:jc w:val="center"/>
              <w:ind w:left="967"/>
              <w:spacing w:after="0"/>
              <w:rPr>
                <w:sz w:val="20"/>
                <w:szCs w:val="20"/>
                <w:color w:val="auto"/>
              </w:rPr>
            </w:pPr>
            <w:r>
              <w:rPr>
                <w:rFonts w:ascii="Times New Roman" w:cs="Times New Roman" w:eastAsia="Times New Roman" w:hAnsi="Times New Roman"/>
                <w:sz w:val="18"/>
                <w:szCs w:val="18"/>
                <w:color w:val="auto"/>
              </w:rPr>
              <w:t>Name of each exchange on which</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to be registered</w:t>
            </w:r>
          </w:p>
        </w:tc>
        <w:tc>
          <w:tcPr>
            <w:tcW w:w="2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700" w:type="dxa"/>
            <w:vAlign w:val="bottom"/>
            <w:gridSpan w:val="2"/>
          </w:tcPr>
          <w:p>
            <w:pPr>
              <w:jc w:val="center"/>
              <w:ind w:right="660"/>
              <w:spacing w:after="0" w:line="194" w:lineRule="exact"/>
              <w:rPr>
                <w:sz w:val="20"/>
                <w:szCs w:val="20"/>
                <w:color w:val="auto"/>
              </w:rPr>
            </w:pPr>
            <w:r>
              <w:rPr>
                <w:rFonts w:ascii="Times New Roman" w:cs="Times New Roman" w:eastAsia="Times New Roman" w:hAnsi="Times New Roman"/>
                <w:sz w:val="18"/>
                <w:szCs w:val="18"/>
                <w:color w:val="auto"/>
                <w:w w:val="99"/>
              </w:rPr>
              <w:t>each class is to be registered</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Preferred Stock Purchase Rights</w:t>
            </w:r>
          </w:p>
        </w:tc>
        <w:tc>
          <w:tcPr>
            <w:tcW w:w="1720" w:type="dxa"/>
            <w:vAlign w:val="bottom"/>
          </w:tcPr>
          <w:p>
            <w:pPr>
              <w:spacing w:after="0"/>
              <w:rPr>
                <w:sz w:val="24"/>
                <w:szCs w:val="24"/>
                <w:color w:val="auto"/>
              </w:rPr>
            </w:pPr>
          </w:p>
        </w:tc>
        <w:tc>
          <w:tcPr>
            <w:tcW w:w="27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9"/>
        </w:trPr>
        <w:tc>
          <w:tcPr>
            <w:tcW w:w="10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If this form relates to the registration of a class of securities pursuant to Section 12(b) of the Exchange Act and is effective pursuant to</w:t>
            </w:r>
          </w:p>
        </w:tc>
        <w:tc>
          <w:tcPr>
            <w:tcW w:w="460" w:type="dxa"/>
            <w:vAlign w:val="bottom"/>
            <w:vMerge w:val="restart"/>
          </w:tcPr>
          <w:p>
            <w:pPr>
              <w:ind w:left="320"/>
              <w:spacing w:after="0" w:line="161" w:lineRule="exact"/>
              <w:rPr>
                <w:sz w:val="20"/>
                <w:szCs w:val="20"/>
                <w:color w:val="auto"/>
              </w:rPr>
            </w:pPr>
            <w:r>
              <w:rPr>
                <w:rFonts w:ascii="MS PGothic" w:cs="MS PGothic" w:eastAsia="MS PGothic" w:hAnsi="MS PGothic"/>
                <w:sz w:val="16"/>
                <w:szCs w:val="16"/>
                <w:color w:val="auto"/>
                <w:highlight w:val="black"/>
                <w:w w:val="74"/>
              </w:rPr>
              <w:t>☒</w:t>
            </w:r>
          </w:p>
        </w:tc>
        <w:tc>
          <w:tcPr>
            <w:tcW w:w="0" w:type="dxa"/>
            <w:vAlign w:val="bottom"/>
          </w:tcPr>
          <w:p>
            <w:pPr>
              <w:spacing w:after="0"/>
              <w:rPr>
                <w:sz w:val="1"/>
                <w:szCs w:val="1"/>
                <w:color w:val="auto"/>
              </w:rPr>
            </w:pPr>
          </w:p>
        </w:tc>
      </w:tr>
      <w:tr>
        <w:trPr>
          <w:trHeight w:val="160"/>
        </w:trPr>
        <w:tc>
          <w:tcPr>
            <w:tcW w:w="5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General Instruction A.(c) or (e), check the following box.</w:t>
            </w:r>
          </w:p>
        </w:tc>
        <w:tc>
          <w:tcPr>
            <w:tcW w:w="17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5600" w:type="dxa"/>
            <w:vAlign w:val="bottom"/>
            <w:gridSpan w:val="3"/>
            <w:vMerge w:val="continue"/>
          </w:tcPr>
          <w:p>
            <w:pPr>
              <w:spacing w:after="0"/>
              <w:rPr>
                <w:sz w:val="6"/>
                <w:szCs w:val="6"/>
                <w:color w:val="auto"/>
              </w:rPr>
            </w:pPr>
          </w:p>
        </w:tc>
        <w:tc>
          <w:tcPr>
            <w:tcW w:w="17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10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If this form relates to the registration of a class of securities pursuant to Section 12(g) of the Exchange Act and is effective pursuant to</w:t>
            </w:r>
          </w:p>
        </w:tc>
        <w:tc>
          <w:tcPr>
            <w:tcW w:w="460" w:type="dxa"/>
            <w:vAlign w:val="bottom"/>
            <w:vMerge w:val="restart"/>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60"/>
        </w:trPr>
        <w:tc>
          <w:tcPr>
            <w:tcW w:w="5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General Instruction A.(d) or (e), check the following box.</w:t>
            </w:r>
          </w:p>
        </w:tc>
        <w:tc>
          <w:tcPr>
            <w:tcW w:w="17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5600" w:type="dxa"/>
            <w:vAlign w:val="bottom"/>
            <w:gridSpan w:val="3"/>
            <w:vMerge w:val="continue"/>
          </w:tcPr>
          <w:p>
            <w:pPr>
              <w:spacing w:after="0"/>
              <w:rPr>
                <w:sz w:val="6"/>
                <w:szCs w:val="6"/>
                <w:color w:val="auto"/>
              </w:rPr>
            </w:pPr>
          </w:p>
        </w:tc>
        <w:tc>
          <w:tcPr>
            <w:tcW w:w="17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0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If this form relates to the registration of a class of securities concurrently with a Regulation A offering, check the following box.</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35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Act registration statement or Regulation A offering statement file number to which this form relates:</w:t>
      </w:r>
    </w:p>
    <w:p>
      <w:pPr>
        <w:spacing w:after="0" w:line="27"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of Class)</w:t>
      </w:r>
    </w:p>
    <w:p>
      <w:pPr>
        <w:spacing w:after="0" w:line="1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to be registered pursuant to Section 12(g) of the Act:</w:t>
      </w:r>
    </w:p>
    <w:p>
      <w:pPr>
        <w:spacing w:after="0" w:line="27"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(Title of Class)</w:t>
      </w:r>
    </w:p>
    <w:p>
      <w:pPr>
        <w:sectPr>
          <w:pgSz w:w="11900" w:h="16838" w:orient="portrait"/>
          <w:cols w:equalWidth="0" w:num="1">
            <w:col w:w="10480"/>
          </w:cols>
          <w:pgMar w:left="320" w:top="1440" w:right="1099" w:bottom="1440" w:gutter="0" w:footer="0" w:header="0"/>
          <w:type w:val="continuous"/>
        </w:sectPr>
      </w:pPr>
    </w:p>
    <w:bookmarkStart w:id="1" w:name="page2"/>
    <w:bookmarkEnd w:id="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Description of Registrant’s Securities to be Registered</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On April 22, 2026, Blaize Holdings, Inc.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entered into a Rights Agreement between the Company and Continental Stock Transfer</w:t>
      </w:r>
    </w:p>
    <w:p>
      <w:pPr>
        <w:spacing w:after="0" w:line="41" w:lineRule="exact"/>
        <w:rPr>
          <w:sz w:val="20"/>
          <w:szCs w:val="20"/>
          <w:color w:val="auto"/>
        </w:rPr>
      </w:pPr>
    </w:p>
    <w:p>
      <w:pPr>
        <w:ind w:right="80" w:firstLine="8"/>
        <w:spacing w:after="0" w:line="260" w:lineRule="auto"/>
        <w:tabs>
          <w:tab w:leader="none" w:pos="18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as Rights Agent (as amended from time to time, the “</w:t>
      </w:r>
      <w:r>
        <w:rPr>
          <w:rFonts w:ascii="Times New Roman" w:cs="Times New Roman" w:eastAsia="Times New Roman" w:hAnsi="Times New Roman"/>
          <w:sz w:val="18"/>
          <w:szCs w:val="18"/>
          <w:i w:val="1"/>
          <w:iCs w:val="1"/>
          <w:color w:val="auto"/>
        </w:rPr>
        <w:t>Rights Agreement</w:t>
      </w:r>
      <w:r>
        <w:rPr>
          <w:rFonts w:ascii="Times New Roman" w:cs="Times New Roman" w:eastAsia="Times New Roman" w:hAnsi="Times New Roman"/>
          <w:sz w:val="18"/>
          <w:szCs w:val="18"/>
          <w:color w:val="auto"/>
        </w:rPr>
        <w:t>”) that was previously approved by the Board of Directors of the Company.</w:t>
      </w:r>
    </w:p>
    <w:p>
      <w:pPr>
        <w:spacing w:after="0" w:line="20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the Rights Agreement, a dividend was declared of one preferred stock purchase right (individually, a “</w:t>
      </w:r>
      <w:r>
        <w:rPr>
          <w:rFonts w:ascii="Times New Roman" w:cs="Times New Roman" w:eastAsia="Times New Roman" w:hAnsi="Times New Roman"/>
          <w:sz w:val="18"/>
          <w:szCs w:val="18"/>
          <w:i w:val="1"/>
          <w:iCs w:val="1"/>
          <w:color w:val="auto"/>
        </w:rPr>
        <w:t>Right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for each share of common stock, par value $0.0001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the Company outstanding at the close of business on May 6, 2026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Each Right will entitle the registered holder thereof, after the Rights become exercisable and until April 21, 2027 (or the earlier redemption, exchange or termination of the Rights), to purchase from the Company one one-hundredth of a share of Series A Junior Participating Preferred Stock, par value $0.0001 per share (the “</w:t>
      </w:r>
      <w:r>
        <w:rPr>
          <w:rFonts w:ascii="Times New Roman" w:cs="Times New Roman" w:eastAsia="Times New Roman" w:hAnsi="Times New Roman"/>
          <w:sz w:val="18"/>
          <w:szCs w:val="18"/>
          <w:i w:val="1"/>
          <w:iCs w:val="1"/>
          <w:color w:val="auto"/>
        </w:rPr>
        <w:t>Series A Preferred</w:t>
      </w:r>
      <w:r>
        <w:rPr>
          <w:rFonts w:ascii="Times New Roman" w:cs="Times New Roman" w:eastAsia="Times New Roman" w:hAnsi="Times New Roman"/>
          <w:sz w:val="18"/>
          <w:szCs w:val="18"/>
          <w:color w:val="auto"/>
        </w:rPr>
        <w:t>”), of the Company at a price of $11.00 per one one-hundredth of a share of Series A Preferred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Until the earlier to occur of (i) the close of business on the tenth business day following a public announcement that a person or group of affiliated or associated persons has acquired, or obtained the right to acquire, beneficial ownership of 10% or more of the Common Stock (an “</w:t>
      </w:r>
      <w:r>
        <w:rPr>
          <w:rFonts w:ascii="Times New Roman" w:cs="Times New Roman" w:eastAsia="Times New Roman" w:hAnsi="Times New Roman"/>
          <w:sz w:val="18"/>
          <w:szCs w:val="18"/>
          <w:i w:val="1"/>
          <w:iCs w:val="1"/>
          <w:color w:val="auto"/>
        </w:rPr>
        <w:t>Acquiring Person</w:t>
      </w:r>
      <w:r>
        <w:rPr>
          <w:rFonts w:ascii="Times New Roman" w:cs="Times New Roman" w:eastAsia="Times New Roman" w:hAnsi="Times New Roman"/>
          <w:sz w:val="18"/>
          <w:szCs w:val="18"/>
          <w:color w:val="auto"/>
        </w:rPr>
        <w:t>”) or (ii) the close of business on the tenth business day (or such later date as may be determined by action of the Board of Directors prior to such time as any person or group of affiliated or associated persons becomes an Acquiring Person) following the commencement or announcement of an intention to make a tender offer or exchange offer the consummation of which would result in a person or group becoming an Acquiring Person (the earlier of (i) and (ii) being called the “</w:t>
      </w:r>
      <w:r>
        <w:rPr>
          <w:rFonts w:ascii="Times New Roman" w:cs="Times New Roman" w:eastAsia="Times New Roman" w:hAnsi="Times New Roman"/>
          <w:sz w:val="18"/>
          <w:szCs w:val="18"/>
          <w:i w:val="1"/>
          <w:iCs w:val="1"/>
          <w:color w:val="auto"/>
        </w:rPr>
        <w:t>Distribution Date</w:t>
      </w:r>
      <w:r>
        <w:rPr>
          <w:rFonts w:ascii="Times New Roman" w:cs="Times New Roman" w:eastAsia="Times New Roman" w:hAnsi="Times New Roman"/>
          <w:sz w:val="18"/>
          <w:szCs w:val="18"/>
          <w:color w:val="auto"/>
        </w:rPr>
        <w:t>”), the Rights will be evidenced, with respect to any of the Common Stock certificates outstanding as of the Record Date, by such Common Stock certificates, or, with respect to any uncertificated Common Stock registered in book entry form, by notation in book entry, in either case together with a copy of the Summary of Rights attached as Exhibit C to the Rights Agreement. Under the Rights Agreement, synthetic ownership of Common Stock in the form of derivative securities counts towards the ownership threshold, to the extent actual shares of Common Stock equivalent to the economic exposure created by the derivative security are directly or indirectly beneficially owned by a counterparty to such derivative security.</w:t>
      </w:r>
    </w:p>
    <w:p>
      <w:pPr>
        <w:spacing w:after="0" w:line="22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Rights Agreement provides that any person who beneficially owned 10% or more of the Common Stock immediately prior to the first public announcement of the adoption of the Rights Agreement, together with any affiliates and associates of that person (each an “</w:t>
      </w:r>
      <w:r>
        <w:rPr>
          <w:rFonts w:ascii="Times New Roman" w:cs="Times New Roman" w:eastAsia="Times New Roman" w:hAnsi="Times New Roman"/>
          <w:sz w:val="18"/>
          <w:szCs w:val="18"/>
          <w:i w:val="1"/>
          <w:iCs w:val="1"/>
          <w:color w:val="auto"/>
        </w:rPr>
        <w:t>Existing Holder</w:t>
      </w:r>
      <w:r>
        <w:rPr>
          <w:rFonts w:ascii="Times New Roman" w:cs="Times New Roman" w:eastAsia="Times New Roman" w:hAnsi="Times New Roman"/>
          <w:sz w:val="18"/>
          <w:szCs w:val="18"/>
          <w:color w:val="auto"/>
        </w:rPr>
        <w:t>”), shall not be deemed to be an “Acquiring Person” for purposes of the Rights Agreement unless an Existing Holder becomes the beneficial owner of one or more additional shares of Common Stock (other than pursuant to a dividend or distribution paid or made by the Company on the outstanding Common Stock in Common Stock or pursuant to a split or subdivision of the outstanding Common Stock) and upon acquiring such additional shares, the Existing Holder beneficially owns 10% or more of the Common Stock then outstanding or if the Existing Holder exchanges synthetic ownership of Common Stock to another form of beneficial ownership (other than pursuant to the express terms of a written agreement as it existed immediately prior to the first public announcement of the Rights Agreement).</w:t>
      </w:r>
    </w:p>
    <w:p>
      <w:pPr>
        <w:spacing w:after="0" w:line="2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Rights will be transferred only with the Common Stock until the Distribution Date (or earlier redemption, exchange, termination or expiration of the Rights). As soon as practicable following the Distribution Date, separate certificates evidencing the Rights (“</w:t>
      </w:r>
      <w:r>
        <w:rPr>
          <w:rFonts w:ascii="Times New Roman" w:cs="Times New Roman" w:eastAsia="Times New Roman" w:hAnsi="Times New Roman"/>
          <w:sz w:val="18"/>
          <w:szCs w:val="18"/>
          <w:i w:val="1"/>
          <w:iCs w:val="1"/>
          <w:color w:val="auto"/>
        </w:rPr>
        <w:t>Right Certificates</w:t>
      </w:r>
      <w:r>
        <w:rPr>
          <w:rFonts w:ascii="Times New Roman" w:cs="Times New Roman" w:eastAsia="Times New Roman" w:hAnsi="Times New Roman"/>
          <w:sz w:val="18"/>
          <w:szCs w:val="18"/>
          <w:color w:val="auto"/>
        </w:rPr>
        <w:t>”) will be mailed to holders of record of the Common Stock as of the close of business on the Distribution Date and such separate Right Certificates alone will evidence the Rights.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Rights are not exercisable until the Distribution Date. The Rights will expire on April 21, 2027, subject to the Company’s right to extend such date, unless earlier redeemed or exchanged by the Company or terminated.</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Each share of Series A Preferred purchasable upon exercise of the Rights will be entitled, when, as and if declared, to a minimum preferential quarterly dividend payment of $1.00 per share or, if greater, an aggregate dividend of 100 times the dividend, if any, declared per share of Common Stock. In the event of liquidation, dissolution or winding up of the Company, the holders of the Series A Preferred will be entitled to a minimum preferential liquidation payment of $100 per share (plus any accrued but unpaid dividends), provided that such</w:t>
      </w:r>
    </w:p>
    <w:p>
      <w:pPr>
        <w:sectPr>
          <w:pgSz w:w="11900" w:h="16838" w:orient="portrait"/>
          <w:cols w:equalWidth="0" w:num="1">
            <w:col w:w="11200"/>
          </w:cols>
          <w:pgMar w:left="320" w:top="1413" w:right="379" w:bottom="144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18"/>
          <w:szCs w:val="18"/>
          <w:color w:val="auto"/>
        </w:rPr>
        <w:t>holders of the Series A Preferred will be entitled to an aggregate payment of 100 times the payment made per share of Common Stock. Each share of Series A Preferred will have 100 votes and will vote together with the Common Stock. Finally, in the event of any merger, consolidation or other transaction in which shares of the Common Stock are exchanged, each share of Series A Preferred will be entitled to receive 100 times the amount received per share of Common Stock. The Series A Preferred will not be redeemable. The Rights are protected by customary anti-dilution provisions. Because of the nature of the Series A Preferred’s dividend and liquidation rights, the value of one one-hundredth of a share of Series A Preferred purchasable upon exercise of each Right should approximate the value of one share of Common Stock.</w:t>
      </w:r>
    </w:p>
    <w:p>
      <w:pPr>
        <w:spacing w:after="0" w:line="21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Purchase Price payable, and the number of one one-hundredth of a share of Series A Preferred or other securities or property issuable, upon exercise of the Rights are subject to adjustment from time to time to prevent dilution (i) in the event of a stock dividend on, or a subdivision, combination or reclassification of, the Series A Preferred, (ii) upon the grant to holders of the Series A Preferred of certain rights or warrants to subscribe for or purchase Series A Preferred or convertible securities at less than the current market price of the Series A Preferred or (iii) upon the distribution to holders of the Series A Preferred of evidences of indebtedness, cash, securities or assets (excluding regular periodic cash dividends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 or dividends payable in shares of Series A Preferred (which dividends will be subject to the adjustment described in clause (i) above)) or of subscription rights or warrants (other than those referred to above).</w:t>
      </w:r>
    </w:p>
    <w:p>
      <w:pPr>
        <w:spacing w:after="0" w:line="21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a person becomes an Acquiring Person or if the Company were the surviving corporation in a merger with an Acquiring Person or any affiliate or associate of an Acquiring Person and shares of the Common Stock were not changed or exchanged in such merger, each holder of a Right, other than Rights that are or were acquired or beneficially owned by the Acquiring Person (which Rights will thereafter be void), will thereafter have the right to receive upon exercise that number of shares of Common Stock having a market value of two times the then current Purchase Price of one Right. In the event that, after a person has become an Acquiring Person, the Company were acquired in a merger or other business combination transaction or more than 50% of its assets or earning power were sold, proper provision shall be made so that each holder of a Right shall thereafter have the right to receive, upon the exercise thereof at the then current Purchase Price of the Right, that number of shares of common stock of the acquiring company which at the time of such transaction would have a market value of two times the then current Purchase Price of one Right.</w:t>
      </w:r>
    </w:p>
    <w:p>
      <w:pPr>
        <w:spacing w:after="0" w:line="21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At any time after a person becomes an Acquiring Person and prior to the earlier of one of the events described in the last sentence of the previous paragraph or the acquisition by such Acquiring Person of 50% or more of the then outstanding Common Stock, the Board of Directors may cause the Company to exchange the Rights (other than Rights owned by an Acquiring Person which have become void), in whole or in part, for shares of Common Stock at an exchange rate of one share of Common Stock per Right (subject to adjustment).</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No adjustment in the Purchase Price will be required until cumulative adjustments require an adjustment of at least 1% in such Purchase Price. No fractional shares of Series A Preferred or Common Stock will be issued (other than fractions of Series A Preferred which are integral multiples of one one-thousandth of a share of Series A Preferred, which may, at the election of the Company, be evidenced by depository receipts), and in lieu thereof, a payment in cash will be made based on the market price of the Series A Preferred or Common Stock on the last trading date prior to the date of exercise.</w:t>
      </w:r>
    </w:p>
    <w:p>
      <w:pPr>
        <w:spacing w:after="0" w:line="20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Rights may be redeemed in whole, but not in part, at a price of $0.01 per Right (the “</w:t>
      </w: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by the Board of Directors at any time prior to the time that an Acquiring Person has become such. The redemption of the Rights may be made effective at such time, on such basis and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sectPr>
          <w:pgSz w:w="11900" w:h="16838" w:orient="portrait"/>
          <w:cols w:equalWidth="0" w:num="1">
            <w:col w:w="11240"/>
          </w:cols>
          <w:pgMar w:left="320" w:top="1417" w:right="339" w:bottom="1440" w:gutter="0" w:footer="0" w:header="0"/>
        </w:sectPr>
      </w:pPr>
    </w:p>
    <w:bookmarkStart w:id="3" w:name="page4"/>
    <w:bookmarkEnd w:id="3"/>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stockholder of the Company beyond those as an existing stockholder, including, without limitation, the right to vote or to receive dividends.</w:t>
      </w:r>
    </w:p>
    <w:p>
      <w:pPr>
        <w:spacing w:after="0" w:line="1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Any of the provisions of the Rights Agreement may be amended by the Board of Directors of the Company, or a duly authorized committee thereof, for so long as the Rights are then redeemable, and after the Rights are no longer redeemable, the Company may amend or supplement the Rights Agreement in any manner that does not adversely affect the interests of the holders of the Rights (other than an Acquiring Person or any affiliate or associate of an Acquiring Person).</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One Right will be distributed to stockholders of the Company for each share of Common Stock owned of record by them on May 6, 2026. As long as the Rights are attached to the Common Stock, the Company will issue one Right with each new share of Common Stock so that all such shares will have attached Rights. The Company has agreed that, from and after the Distribution Date, the Company will reserve 6,000,000 shares of Series A Preferred initially for issuance upon exercise of the Rights.</w:t>
      </w:r>
    </w:p>
    <w:p>
      <w:pPr>
        <w:spacing w:after="0" w:line="20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Rights are designed to assure that all of the Company’s stockholders receive fair and equal treatment in the event of any proposed takeover of the Company and to guard against partial tender offers, open market accumulations and other abusive or coercive tactics to gain control of the Company without paying all stockholders a control premium. The Rights will cause substantial dilution to a person or group that acquires 10% or more of the Common Stock on terms not approved by the Company’s Board of Directors. The Rights will not interfere with any merger or other business combination approved by the Board of Directors at any time prior to the first date that a person or group has become an Acquiring Person.</w:t>
      </w:r>
    </w:p>
    <w:p>
      <w:pPr>
        <w:spacing w:after="0" w:line="21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Certificate of Designations establishing the terms of the Series A Preferred, the Rights Agreement specifying the terms of the Rights and the text of the press release announcing the declaration of the Rights are incorporated herein by reference as exhibits to this registration statement. The foregoing summary of the Rights Agreement is qualified in its entirety by reference to such exhibits.</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10" w:lineRule="exact"/>
        <w:rPr>
          <w:sz w:val="20"/>
          <w:szCs w:val="20"/>
          <w:color w:val="auto"/>
        </w:rPr>
      </w:pPr>
    </w:p>
    <w:p>
      <w:pPr>
        <w:ind w:left="640" w:right="140" w:hanging="614"/>
        <w:spacing w:after="0" w:line="266" w:lineRule="auto"/>
        <w:tabs>
          <w:tab w:leader="none" w:pos="640" w:val="left"/>
        </w:tabs>
        <w:numPr>
          <w:ilvl w:val="0"/>
          <w:numId w:val="2"/>
        </w:numPr>
        <w:rPr>
          <w:rFonts w:ascii="Times New Roman" w:cs="Times New Roman" w:eastAsia="Times New Roman" w:hAnsi="Times New Roman"/>
          <w:sz w:val="18"/>
          <w:szCs w:val="18"/>
          <w:u w:val="single" w:color="auto"/>
          <w:color w:val="auto"/>
        </w:rPr>
      </w:pPr>
      <w:hyperlink r:id="rId10">
        <w:r>
          <w:rPr>
            <w:rFonts w:ascii="Times New Roman" w:cs="Times New Roman" w:eastAsia="Times New Roman" w:hAnsi="Times New Roman"/>
            <w:sz w:val="18"/>
            <w:szCs w:val="18"/>
            <w:u w:val="single" w:color="auto"/>
            <w:color w:val="auto"/>
          </w:rPr>
          <w:t>Certificate of Designations of Series A Junior Participating Preferred Stock of Blaize Holdings, Inc., filed with the Secretary of State of the State</w:t>
        </w:r>
      </w:hyperlink>
      <w:r>
        <w:rPr>
          <w:rFonts w:ascii="Times New Roman" w:cs="Times New Roman" w:eastAsia="Times New Roman" w:hAnsi="Times New Roman"/>
          <w:sz w:val="18"/>
          <w:szCs w:val="18"/>
          <w:u w:val="single" w:color="auto"/>
          <w:color w:val="auto"/>
        </w:rPr>
        <w:t xml:space="preserve"> </w:t>
      </w:r>
      <w:hyperlink r:id="rId10">
        <w:r>
          <w:rPr>
            <w:rFonts w:ascii="Times New Roman" w:cs="Times New Roman" w:eastAsia="Times New Roman" w:hAnsi="Times New Roman"/>
            <w:sz w:val="18"/>
            <w:szCs w:val="18"/>
            <w:u w:val="single" w:color="auto"/>
            <w:color w:val="auto"/>
          </w:rPr>
          <w:t>of Delaware on April 22, 2026 (incorporated by reference to Exhibit 3.1 of the Current Report on Form 8-K dated April 22, 2026 of Blaize</w:t>
        </w:r>
      </w:hyperlink>
      <w:r>
        <w:rPr>
          <w:rFonts w:ascii="Times New Roman" w:cs="Times New Roman" w:eastAsia="Times New Roman" w:hAnsi="Times New Roman"/>
          <w:sz w:val="18"/>
          <w:szCs w:val="18"/>
          <w:u w:val="single" w:color="auto"/>
          <w:color w:val="auto"/>
        </w:rPr>
        <w:t xml:space="preserve"> </w:t>
      </w:r>
      <w:hyperlink r:id="rId10">
        <w:r>
          <w:rPr>
            <w:rFonts w:ascii="Times New Roman" w:cs="Times New Roman" w:eastAsia="Times New Roman" w:hAnsi="Times New Roman"/>
            <w:sz w:val="18"/>
            <w:szCs w:val="18"/>
            <w:u w:val="single" w:color="auto"/>
            <w:color w:val="auto"/>
          </w:rPr>
          <w:t>Holdings, Inc.).</w:t>
        </w:r>
      </w:hyperlink>
    </w:p>
    <w:p>
      <w:pPr>
        <w:spacing w:after="0" w:line="13" w:lineRule="exact"/>
        <w:rPr>
          <w:rFonts w:ascii="Times New Roman" w:cs="Times New Roman" w:eastAsia="Times New Roman" w:hAnsi="Times New Roman"/>
          <w:sz w:val="18"/>
          <w:szCs w:val="18"/>
          <w:u w:val="single" w:color="auto"/>
          <w:color w:val="auto"/>
        </w:rPr>
      </w:pPr>
    </w:p>
    <w:p>
      <w:pPr>
        <w:ind w:left="640" w:right="60" w:hanging="614"/>
        <w:spacing w:after="0" w:line="261" w:lineRule="auto"/>
        <w:tabs>
          <w:tab w:leader="none" w:pos="640" w:val="left"/>
        </w:tabs>
        <w:numPr>
          <w:ilvl w:val="0"/>
          <w:numId w:val="2"/>
        </w:numPr>
        <w:rPr>
          <w:rFonts w:ascii="Times New Roman" w:cs="Times New Roman" w:eastAsia="Times New Roman" w:hAnsi="Times New Roman"/>
          <w:sz w:val="18"/>
          <w:szCs w:val="18"/>
          <w:u w:val="single" w:color="auto"/>
          <w:color w:val="auto"/>
        </w:rPr>
      </w:pPr>
      <w:hyperlink r:id="rId11">
        <w:r>
          <w:rPr>
            <w:rFonts w:ascii="Times New Roman" w:cs="Times New Roman" w:eastAsia="Times New Roman" w:hAnsi="Times New Roman"/>
            <w:sz w:val="18"/>
            <w:szCs w:val="18"/>
            <w:u w:val="single" w:color="auto"/>
            <w:color w:val="auto"/>
          </w:rPr>
          <w:t>Rights Agreement, dated as of April 22, 2026, between Blaize Holdings, Inc. and Continental Stock Transfer &amp; Trust Company, which includes</w:t>
        </w:r>
      </w:hyperlink>
      <w:r>
        <w:rPr>
          <w:rFonts w:ascii="Times New Roman" w:cs="Times New Roman" w:eastAsia="Times New Roman" w:hAnsi="Times New Roman"/>
          <w:sz w:val="18"/>
          <w:szCs w:val="18"/>
          <w:u w:val="single" w:color="auto"/>
          <w:color w:val="auto"/>
        </w:rPr>
        <w:t xml:space="preserve"> </w:t>
      </w:r>
      <w:hyperlink r:id="rId11">
        <w:r>
          <w:rPr>
            <w:rFonts w:ascii="Times New Roman" w:cs="Times New Roman" w:eastAsia="Times New Roman" w:hAnsi="Times New Roman"/>
            <w:sz w:val="18"/>
            <w:szCs w:val="18"/>
            <w:u w:val="single" w:color="auto"/>
            <w:color w:val="auto"/>
          </w:rPr>
          <w:t>the Form of Certificate of Designations of Series A Junior Participating Preferred Stock as Exhibit A, the Form of Right Certificate as Exhibit B</w:t>
        </w:r>
      </w:hyperlink>
      <w:r>
        <w:rPr>
          <w:rFonts w:ascii="Times New Roman" w:cs="Times New Roman" w:eastAsia="Times New Roman" w:hAnsi="Times New Roman"/>
          <w:sz w:val="18"/>
          <w:szCs w:val="18"/>
          <w:u w:val="single" w:color="auto"/>
          <w:color w:val="auto"/>
        </w:rPr>
        <w:t xml:space="preserve"> </w:t>
      </w:r>
      <w:hyperlink r:id="rId11">
        <w:r>
          <w:rPr>
            <w:rFonts w:ascii="Times New Roman" w:cs="Times New Roman" w:eastAsia="Times New Roman" w:hAnsi="Times New Roman"/>
            <w:sz w:val="18"/>
            <w:szCs w:val="18"/>
            <w:u w:val="single" w:color="auto"/>
            <w:color w:val="auto"/>
          </w:rPr>
          <w:t>and the Summary of Rights to Purchase Preferred Stock as Exhibit C (incorporated by reference to Exhibit 4.1 of the Current Report on Form 8 K</w:t>
        </w:r>
      </w:hyperlink>
      <w:r>
        <w:rPr>
          <w:rFonts w:ascii="Times New Roman" w:cs="Times New Roman" w:eastAsia="Times New Roman" w:hAnsi="Times New Roman"/>
          <w:sz w:val="18"/>
          <w:szCs w:val="18"/>
          <w:u w:val="single" w:color="auto"/>
          <w:color w:val="auto"/>
        </w:rPr>
        <w:t xml:space="preserve"> </w:t>
      </w:r>
      <w:hyperlink r:id="rId11">
        <w:r>
          <w:rPr>
            <w:rFonts w:ascii="Times New Roman" w:cs="Times New Roman" w:eastAsia="Times New Roman" w:hAnsi="Times New Roman"/>
            <w:sz w:val="18"/>
            <w:szCs w:val="18"/>
            <w:u w:val="single" w:color="auto"/>
            <w:color w:val="auto"/>
          </w:rPr>
          <w:t>dated April 22, 2026 of Blaize Holdings, Inc.).</w:t>
        </w:r>
      </w:hyperlink>
    </w:p>
    <w:p>
      <w:pPr>
        <w:spacing w:after="0" w:line="17" w:lineRule="exact"/>
        <w:rPr>
          <w:rFonts w:ascii="Times New Roman" w:cs="Times New Roman" w:eastAsia="Times New Roman" w:hAnsi="Times New Roman"/>
          <w:sz w:val="18"/>
          <w:szCs w:val="18"/>
          <w:u w:val="single" w:color="auto"/>
          <w:color w:val="auto"/>
        </w:rPr>
      </w:pPr>
    </w:p>
    <w:p>
      <w:pPr>
        <w:ind w:left="640" w:right="160" w:hanging="614"/>
        <w:spacing w:after="0" w:line="282" w:lineRule="auto"/>
        <w:tabs>
          <w:tab w:leader="none" w:pos="640" w:val="left"/>
        </w:tabs>
        <w:numPr>
          <w:ilvl w:val="0"/>
          <w:numId w:val="2"/>
        </w:numPr>
        <w:rPr>
          <w:rFonts w:ascii="Times New Roman" w:cs="Times New Roman" w:eastAsia="Times New Roman" w:hAnsi="Times New Roman"/>
          <w:sz w:val="18"/>
          <w:szCs w:val="18"/>
          <w:u w:val="single" w:color="auto"/>
          <w:color w:val="auto"/>
        </w:rPr>
      </w:pPr>
      <w:hyperlink r:id="rId12">
        <w:r>
          <w:rPr>
            <w:rFonts w:ascii="Times New Roman" w:cs="Times New Roman" w:eastAsia="Times New Roman" w:hAnsi="Times New Roman"/>
            <w:sz w:val="18"/>
            <w:szCs w:val="18"/>
            <w:u w:val="single" w:color="auto"/>
            <w:color w:val="auto"/>
          </w:rPr>
          <w:t>Press Release of Blaize Holdings, Inc., dated April 22, 2026 (incorporated by reference to Exhibit 99.1 of the Current Report on Form 8-K dated</w:t>
        </w:r>
      </w:hyperlink>
      <w:r>
        <w:rPr>
          <w:rFonts w:ascii="Times New Roman" w:cs="Times New Roman" w:eastAsia="Times New Roman" w:hAnsi="Times New Roman"/>
          <w:sz w:val="18"/>
          <w:szCs w:val="18"/>
          <w:u w:val="single" w:color="auto"/>
          <w:color w:val="auto"/>
        </w:rPr>
        <w:t xml:space="preserve"> </w:t>
      </w:r>
      <w:hyperlink r:id="rId12">
        <w:r>
          <w:rPr>
            <w:rFonts w:ascii="Times New Roman" w:cs="Times New Roman" w:eastAsia="Times New Roman" w:hAnsi="Times New Roman"/>
            <w:sz w:val="18"/>
            <w:szCs w:val="18"/>
            <w:u w:val="single" w:color="auto"/>
            <w:color w:val="auto"/>
          </w:rPr>
          <w:t>April 22, 2026 of Blaize Holdings, Inc.).</w:t>
        </w:r>
      </w:hyperlink>
    </w:p>
    <w:p>
      <w:pPr>
        <w:sectPr>
          <w:pgSz w:w="11900" w:h="16838" w:orient="portrait"/>
          <w:cols w:equalWidth="0" w:num="1">
            <w:col w:w="11220"/>
          </w:cols>
          <w:pgMar w:left="320" w:top="1417"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Date: April 22, 2026</w:t>
      </w:r>
      <w:r>
        <w:rPr>
          <w:sz w:val="20"/>
          <w:szCs w:val="20"/>
          <w:color w:val="auto"/>
        </w:rPr>
        <w:tab/>
      </w:r>
      <w:r>
        <w:rPr>
          <w:rFonts w:ascii="Times New Roman" w:cs="Times New Roman" w:eastAsia="Times New Roman" w:hAnsi="Times New Roman"/>
          <w:sz w:val="18"/>
          <w:szCs w:val="18"/>
          <w:b w:val="1"/>
          <w:bCs w:val="1"/>
          <w:color w:val="auto"/>
        </w:rPr>
        <w:t>Blaize Holdings, Inc.</w:t>
      </w:r>
    </w:p>
    <w:p>
      <w:pPr>
        <w:spacing w:after="0" w:line="29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Kim Evans</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Kim Evans</w:t>
      </w:r>
    </w:p>
    <w:p>
      <w:pPr>
        <w:spacing w:after="0" w:line="2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i w:val="1"/>
          <w:iCs w:val="1"/>
          <w:color w:val="auto"/>
        </w:rPr>
        <w:t>General Counsel</w:t>
      </w:r>
    </w:p>
    <w:sectPr>
      <w:pgSz w:w="11900" w:h="16838" w:orient="portrait"/>
      <w:cols w:equalWidth="0" w:num="1">
        <w:col w:w="11220"/>
      </w:cols>
      <w:pgMar w:left="320" w:top="14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amp;"/>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s://www.sec.gov/Archives/edgar/data/1871638/000187163826000025/exhibit31-certificateofdes.htm" TargetMode="External"/><Relationship Id="rId11" Type="http://schemas.openxmlformats.org/officeDocument/2006/relationships/hyperlink" Target="https://www.sec.gov/Archives/edgar/data/1871638/000187163826000025/exhibit41-rightsplan.htm" TargetMode="External"/><Relationship Id="rId12" Type="http://schemas.openxmlformats.org/officeDocument/2006/relationships/hyperlink" Target="https://www.sec.gov/Archives/edgar/data/1871638/000187163826000025/exhibit991-pressreleaseq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2026-04-22T15:38:32Z</dcterms:created>
  <dcterms:modified xsi:type="dcterms:W3CDTF">2026-04-22T15:38:32Z</dcterms:modified>
</cp:coreProperties>
</file>