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5165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65725"/>
                    </a:xfrm>
                    <a:prstGeom prst="rect">
                      <a:avLst/>
                    </a:prstGeom>
                    <a:noFill/>
                  </pic:spPr>
                </pic:pic>
              </a:graphicData>
            </a:graphic>
          </wp:anchor>
        </w:drawing>
      </w:r>
    </w:p>
    <w:p>
      <w:pPr>
        <w:spacing w:after="0" w:line="116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Cannestra Anthony</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Blaize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BZAI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BLAIZE HOLDINGS, INC.</w:t>
            </w:r>
          </w:p>
        </w:tc>
        <w:tc>
          <w:tcPr>
            <w:tcW w:w="1200" w:type="dxa"/>
            <w:vAlign w:val="bottom"/>
          </w:tcPr>
          <w:p>
            <w:pPr>
              <w:spacing w:after="0"/>
              <w:rPr>
                <w:sz w:val="18"/>
                <w:szCs w:val="18"/>
                <w:color w:val="auto"/>
              </w:rPr>
            </w:pPr>
          </w:p>
        </w:tc>
        <w:tc>
          <w:tcPr>
            <w:tcW w:w="19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4659 GOLDEN FOOTHILL PARKWAY, SUITE 206</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3" w:lineRule="exact"/>
        <w:rPr>
          <w:sz w:val="20"/>
          <w:szCs w:val="20"/>
          <w:color w:val="auto"/>
        </w:rPr>
      </w:pPr>
    </w:p>
    <w:p>
      <w:pPr>
        <w:sectPr>
          <w:pgSz w:w="11900" w:h="16838" w:orient="portrait"/>
          <w:cols w:equalWidth="0" w:num="2">
            <w:col w:w="7660" w:space="67"/>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EL DORADO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95762</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05/11/2026</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88"/>
              </w:rPr>
              <w:t>50,000</w:t>
            </w:r>
            <w:r>
              <w:rPr>
                <w:rFonts w:ascii="Times New Roman" w:cs="Times New Roman" w:eastAsia="Times New Roman" w:hAnsi="Times New Roman"/>
                <w:sz w:val="21"/>
                <w:szCs w:val="21"/>
                <w:color w:val="008000"/>
                <w:w w:val="88"/>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0.57</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7"/>
                <w:szCs w:val="17"/>
                <w:color w:val="0000FF"/>
              </w:rPr>
              <w:t>50,000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05/11/2026</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88"/>
              </w:rPr>
              <w:t>50,000</w:t>
            </w:r>
            <w:r>
              <w:rPr>
                <w:rFonts w:ascii="Times New Roman" w:cs="Times New Roman" w:eastAsia="Times New Roman" w:hAnsi="Times New Roman"/>
                <w:sz w:val="21"/>
                <w:szCs w:val="21"/>
                <w:color w:val="008000"/>
                <w:w w:val="88"/>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w:t>
            </w:r>
            <w:r>
              <w:rPr>
                <w:rFonts w:ascii="Times New Roman" w:cs="Times New Roman" w:eastAsia="Times New Roman" w:hAnsi="Times New Roman"/>
                <w:sz w:val="21"/>
                <w:szCs w:val="21"/>
                <w:color w:val="008000"/>
                <w:vertAlign w:val="superscript"/>
              </w:rPr>
              <w:t>(3)</w:t>
            </w: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50,000</w:t>
            </w:r>
            <w:r>
              <w:rPr>
                <w:rFonts w:ascii="Times New Roman" w:cs="Times New Roman" w:eastAsia="Times New Roman" w:hAnsi="Times New Roman"/>
                <w:sz w:val="21"/>
                <w:szCs w:val="21"/>
                <w:color w:val="008000"/>
                <w:vertAlign w:val="superscript"/>
              </w:rPr>
              <w:t>(1)</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0.57</w:t>
            </w: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05/11/2026</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09/18/2033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112,169</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purchase)</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exercise of 50,000 stock options underlying 50,000 shares of the Issuer's common stock was effected pursuant to a Rule 10b5-1 trading plan adopted by the reporting person on December 11, 2025 (the "10b5-1 trading plan").</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the reporting person's Rule 10b5-1 trading plan.</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$1.78 to $1.88, inclusive. Upon request by the SEC staff, the Issuer, or any security holder of the Issuer, full information regarding the number of shares sold at each separate price will be provided.</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to purchase one share of the Issuer's common stock for each stock option is fully vested and exercisable.</w:t>
      </w:r>
    </w:p>
    <w:p>
      <w:pPr>
        <w:spacing w:after="0" w:line="41" w:lineRule="exact"/>
        <w:rPr>
          <w:rFonts w:ascii="Times New Roman" w:cs="Times New Roman" w:eastAsia="Times New Roman" w:hAnsi="Times New Roman"/>
          <w:sz w:val="13"/>
          <w:szCs w:val="13"/>
          <w:color w:val="008000"/>
        </w:rPr>
      </w:pPr>
    </w:p>
    <w:p>
      <w:pPr>
        <w:jc w:val="both"/>
        <w:ind w:left="40" w:right="140"/>
        <w:spacing w:after="0" w:line="267"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securities received as part of the Issuer's business combination, in connection with that certain Agreement and Plan of Merger, dated as of December 22, 2023 and amended on April 22, 2024, October 24, 2024, and November 21, 2024 (the "Merger Agreement") by and among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Harminder Sehmi, as</w:t>
            </w:r>
          </w:p>
        </w:tc>
        <w:tc>
          <w:tcPr>
            <w:tcW w:w="6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48317" TargetMode="External"/><Relationship Id="rId14"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2026-05-12T19:41:18Z</dcterms:created>
  <dcterms:modified xsi:type="dcterms:W3CDTF">2026-05-12T19:41:18Z</dcterms:modified>
</cp:coreProperties>
</file>