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Blaize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092915107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Dinakar Munagala</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 Blaize Holdings, Inc., 4659 Golden Foothill Parkway, Suite 206</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El Dorado Hills, CA, 95762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(916) 347-0050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11/02/2025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092915107</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Dinakar Munagala</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6,826,304.00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6,826,304.00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6,826,304.00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10040"/>
          </w:cols>
          <w:pgMar w:left="360" w:top="126"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Blaize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4659 Golden Foothill Parkway, Suite 206, El Dorado Hills, CALIFORNIA , 95762.</w:t>
      </w:r>
    </w:p>
    <w:p>
      <w:pPr>
        <w:spacing w:after="0" w:line="20" w:lineRule="exact"/>
        <w:rPr>
          <w:sz w:val="20"/>
          <w:szCs w:val="20"/>
          <w:color w:val="auto"/>
        </w:rPr>
      </w:pPr>
    </w:p>
    <w:p>
      <w:pPr>
        <w:jc w:val="right"/>
        <w:spacing w:after="0" w:line="247"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 on Schedule 13D (the "Amendment No. 1") amends and supplements the statement on</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Schedule 13D filed with the United States Securities and Exchange Commission on July 11, 2025 (as amended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date, the "Schedule 13D"), relating to the shares of common stock, par value $0.0001 per share (the "Common Stock"), of Blaize Holdings, Inc. a Delaware corporation (the "Issuer"). Capitalized terms used herein without</w:t>
      </w:r>
    </w:p>
    <w:p>
      <w:pPr>
        <w:spacing w:after="0" w:line="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definition shall have the meaning set forth in the Schedule 13D.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100" w:hanging="912"/>
        <w:spacing w:after="0" w:line="255" w:lineRule="auto"/>
        <w:tabs>
          <w:tab w:leader="none" w:pos="92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on the cover page to this Schedule 13D is incorporated herein by reference. The securities reported herein include (i) 551,422 shares of Common Stock and (ii) 6,274,882 shares of Common Stock underlying Stock Options which are vested or are expected to vest within 60 days of the date of this filing. The ownership percentage set forth herein is based on 107,866,345 shares of Common Stock outstanding as of October 6, 2025 as</w:t>
      </w:r>
    </w:p>
    <w:p>
      <w:pPr>
        <w:sectPr>
          <w:pgSz w:w="11900" w:h="16838" w:orient="portrait"/>
          <w:cols w:equalWidth="0" w:num="1">
            <w:col w:w="11160"/>
          </w:cols>
          <w:pgMar w:left="360" w:top="126" w:right="379" w:bottom="0" w:gutter="0" w:footer="0" w:header="0"/>
          <w:type w:val="continuous"/>
        </w:sectPr>
      </w:pPr>
    </w:p>
    <w:bookmarkStart w:id="2" w:name="page3"/>
    <w:bookmarkEnd w:id="2"/>
    <w:p>
      <w:pPr>
        <w:ind w:left="912" w:right="200"/>
        <w:spacing w:after="0" w:line="256" w:lineRule="auto"/>
        <w:rPr>
          <w:sz w:val="20"/>
          <w:szCs w:val="20"/>
          <w:color w:val="auto"/>
        </w:rPr>
      </w:pPr>
      <w:r>
        <w:rPr>
          <w:rFonts w:ascii="Times New Roman" w:cs="Times New Roman" w:eastAsia="Times New Roman" w:hAnsi="Times New Roman"/>
          <w:sz w:val="22"/>
          <w:szCs w:val="22"/>
          <w:color w:val="auto"/>
        </w:rPr>
        <w:t>disclosed in the Issuer's Definitive Proxy Statement filed with the Securities and Exchange Commission on October 20, 2025. The information herein excludes 1,371,303 earn-out shares held by the Reporting Person.</w:t>
      </w:r>
    </w:p>
    <w:p>
      <w:pPr>
        <w:spacing w:after="0" w:line="1" w:lineRule="exact"/>
        <w:rPr>
          <w:sz w:val="20"/>
          <w:szCs w:val="20"/>
          <w:color w:val="auto"/>
        </w:rPr>
      </w:pPr>
    </w:p>
    <w:p>
      <w:pPr>
        <w:ind w:left="912" w:hanging="912"/>
        <w:spacing w:after="0"/>
        <w:tabs>
          <w:tab w:leader="none" w:pos="912"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on the cover page to this Schedule 13D is incorporated herein by reference.</w:t>
      </w:r>
    </w:p>
    <w:p>
      <w:pPr>
        <w:spacing w:after="0" w:line="44" w:lineRule="exact"/>
        <w:rPr>
          <w:rFonts w:ascii="Times New Roman" w:cs="Times New Roman" w:eastAsia="Times New Roman" w:hAnsi="Times New Roman"/>
          <w:sz w:val="22"/>
          <w:szCs w:val="22"/>
          <w:color w:val="auto"/>
        </w:rPr>
      </w:pPr>
    </w:p>
    <w:p>
      <w:pPr>
        <w:ind w:left="912"/>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past 60 days, options to purchase 551,786 shares of Common Stock held by the Reporting Person have</w:t>
      </w:r>
    </w:p>
    <w:p>
      <w:pPr>
        <w:spacing w:after="0" w:line="14" w:lineRule="exact"/>
        <w:rPr>
          <w:rFonts w:ascii="Times New Roman" w:cs="Times New Roman" w:eastAsia="Times New Roman" w:hAnsi="Times New Roman"/>
          <w:sz w:val="22"/>
          <w:szCs w:val="22"/>
          <w:color w:val="auto"/>
        </w:rPr>
      </w:pPr>
    </w:p>
    <w:p>
      <w:pPr>
        <w:ind w:left="912" w:right="740" w:hanging="912"/>
        <w:spacing w:after="0" w:line="237" w:lineRule="auto"/>
        <w:tabs>
          <w:tab w:leader="none" w:pos="912"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vested. Other than as described in this Item 5(c), the Reporting Person has not effected any transactions in the Common Stock in the last 60 days.</w:t>
      </w:r>
    </w:p>
    <w:p>
      <w:pPr>
        <w:spacing w:after="0" w:line="16" w:lineRule="exact"/>
        <w:rPr>
          <w:rFonts w:ascii="Times New Roman" w:cs="Times New Roman" w:eastAsia="Times New Roman" w:hAnsi="Times New Roman"/>
          <w:sz w:val="22"/>
          <w:szCs w:val="22"/>
          <w:color w:val="auto"/>
        </w:rPr>
      </w:pPr>
    </w:p>
    <w:p>
      <w:pPr>
        <w:ind w:left="912" w:hanging="912"/>
        <w:spacing w:after="0"/>
        <w:tabs>
          <w:tab w:leader="none" w:pos="912"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w:t>
      </w:r>
    </w:p>
    <w:p>
      <w:pPr>
        <w:spacing w:after="0" w:line="44" w:lineRule="exact"/>
        <w:rPr>
          <w:rFonts w:ascii="Times New Roman" w:cs="Times New Roman" w:eastAsia="Times New Roman" w:hAnsi="Times New Roman"/>
          <w:sz w:val="22"/>
          <w:szCs w:val="22"/>
          <w:color w:val="auto"/>
        </w:rPr>
      </w:pPr>
    </w:p>
    <w:p>
      <w:pPr>
        <w:ind w:left="912" w:hanging="912"/>
        <w:spacing w:after="0"/>
        <w:tabs>
          <w:tab w:leader="none" w:pos="912"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72"/>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22"/>
          <w:szCs w:val="22"/>
          <w:color w:val="auto"/>
        </w:rPr>
        <w:t>Dinakar Munagala</w:t>
      </w:r>
    </w:p>
    <w:p>
      <w:pPr>
        <w:spacing w:after="0" w:line="152" w:lineRule="exact"/>
        <w:rPr>
          <w:sz w:val="20"/>
          <w:szCs w:val="20"/>
          <w:color w:val="auto"/>
        </w:rPr>
      </w:pPr>
    </w:p>
    <w:p>
      <w:pPr>
        <w:ind w:left="3152"/>
        <w:spacing w:after="0"/>
        <w:tabs>
          <w:tab w:leader="none" w:pos="421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Dinakar Munagala</w:t>
      </w:r>
    </w:p>
    <w:p>
      <w:pPr>
        <w:spacing w:after="0" w:line="44" w:lineRule="exact"/>
        <w:rPr>
          <w:sz w:val="20"/>
          <w:szCs w:val="20"/>
          <w:color w:val="auto"/>
        </w:rPr>
      </w:pPr>
    </w:p>
    <w:p>
      <w:pPr>
        <w:ind w:left="3152"/>
        <w:spacing w:after="0"/>
        <w:rPr>
          <w:sz w:val="20"/>
          <w:szCs w:val="20"/>
          <w:color w:val="auto"/>
        </w:rPr>
      </w:pPr>
      <w:r>
        <w:rPr>
          <w:rFonts w:ascii="Times New Roman" w:cs="Times New Roman" w:eastAsia="Times New Roman" w:hAnsi="Times New Roman"/>
          <w:sz w:val="22"/>
          <w:szCs w:val="22"/>
          <w:color w:val="auto"/>
        </w:rPr>
        <w:t>Name/Title: Dinakar Munagala</w:t>
      </w:r>
    </w:p>
    <w:p>
      <w:pPr>
        <w:spacing w:after="0" w:line="44" w:lineRule="exact"/>
        <w:rPr>
          <w:sz w:val="20"/>
          <w:szCs w:val="20"/>
          <w:color w:val="auto"/>
        </w:rPr>
      </w:pPr>
    </w:p>
    <w:p>
      <w:pPr>
        <w:ind w:left="3152"/>
        <w:spacing w:after="0"/>
        <w:tabs>
          <w:tab w:leader="none" w:pos="421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11/03/2025</w:t>
      </w:r>
    </w:p>
    <w:sectPr>
      <w:pgSz w:w="11900" w:h="16838" w:orient="portrait"/>
      <w:cols w:equalWidth="0" w:num="1">
        <w:col w:w="11132"/>
      </w:cols>
      <w:pgMar w:left="368"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2"/>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2025-11-03T17:41:04Z</dcterms:created>
  <dcterms:modified xsi:type="dcterms:W3CDTF">2025-11-03T17:41:04Z</dcterms:modified>
</cp:coreProperties>
</file>