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BURTECH ACQUISITION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Delaware</w:t>
            </w:r>
          </w:p>
        </w:tc>
        <w:tc>
          <w:tcPr>
            <w:tcW w:w="2100" w:type="dxa"/>
            <w:vAlign w:val="bottom"/>
            <w:tcBorders>
              <w:bottom w:val="single" w:sz="8" w:color="auto"/>
            </w:tcBorders>
            <w:gridSpan w:val="2"/>
          </w:tcPr>
          <w:p>
            <w:pPr>
              <w:jc w:val="center"/>
              <w:ind w:left="1570"/>
              <w:spacing w:after="0"/>
              <w:rPr>
                <w:sz w:val="20"/>
                <w:szCs w:val="20"/>
                <w:color w:val="auto"/>
              </w:rPr>
            </w:pPr>
            <w:r>
              <w:rPr>
                <w:rFonts w:ascii="Arial" w:cs="Arial" w:eastAsia="Arial" w:hAnsi="Arial"/>
                <w:sz w:val="18"/>
                <w:szCs w:val="18"/>
                <w:b w:val="1"/>
                <w:bCs w:val="1"/>
                <w:color w:val="auto"/>
                <w:w w:val="89"/>
              </w:rPr>
              <w:t>6770</w:t>
            </w:r>
          </w:p>
        </w:tc>
        <w:tc>
          <w:tcPr>
            <w:tcW w:w="23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91"/>
              </w:rPr>
              <w:t>85-2708752</w:t>
            </w:r>
          </w:p>
        </w:tc>
      </w:tr>
      <w:tr>
        <w:trPr>
          <w:trHeight w:val="195"/>
        </w:trPr>
        <w:tc>
          <w:tcPr>
            <w:tcW w:w="3640" w:type="dxa"/>
            <w:vAlign w:val="bottom"/>
          </w:tcPr>
          <w:p>
            <w:pPr>
              <w:ind w:left="740"/>
              <w:spacing w:after="0" w:line="195" w:lineRule="exact"/>
              <w:rPr>
                <w:sz w:val="20"/>
                <w:szCs w:val="20"/>
                <w:color w:val="auto"/>
              </w:rPr>
            </w:pPr>
            <w:r>
              <w:rPr>
                <w:rFonts w:ascii="Arial" w:cs="Arial" w:eastAsia="Arial" w:hAnsi="Arial"/>
                <w:sz w:val="18"/>
                <w:szCs w:val="18"/>
                <w:i w:val="1"/>
                <w:iCs w:val="1"/>
                <w:color w:val="auto"/>
              </w:rPr>
              <w:t>(State or other jurisdiction of</w:t>
            </w:r>
          </w:p>
        </w:tc>
        <w:tc>
          <w:tcPr>
            <w:tcW w:w="4460" w:type="dxa"/>
            <w:vAlign w:val="bottom"/>
            <w:gridSpan w:val="3"/>
          </w:tcPr>
          <w:p>
            <w:pPr>
              <w:jc w:val="center"/>
              <w:ind w:right="590"/>
              <w:spacing w:after="0" w:line="195" w:lineRule="exact"/>
              <w:rPr>
                <w:sz w:val="20"/>
                <w:szCs w:val="20"/>
                <w:color w:val="auto"/>
              </w:rPr>
            </w:pPr>
            <w:r>
              <w:rPr>
                <w:rFonts w:ascii="Arial" w:cs="Arial" w:eastAsia="Arial" w:hAnsi="Arial"/>
                <w:sz w:val="18"/>
                <w:szCs w:val="18"/>
                <w:i w:val="1"/>
                <w:iCs w:val="1"/>
                <w:color w:val="auto"/>
                <w:w w:val="93"/>
              </w:rPr>
              <w:t>(Primary Standard Industrial</w:t>
            </w:r>
          </w:p>
        </w:tc>
        <w:tc>
          <w:tcPr>
            <w:tcW w:w="3140" w:type="dxa"/>
            <w:vAlign w:val="bottom"/>
          </w:tcPr>
          <w:p>
            <w:pPr>
              <w:jc w:val="center"/>
              <w:ind w:right="610"/>
              <w:spacing w:after="0" w:line="195"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3640" w:type="dxa"/>
            <w:vAlign w:val="bottom"/>
          </w:tcPr>
          <w:p>
            <w:pPr>
              <w:ind w:left="700"/>
              <w:spacing w:after="0"/>
              <w:rPr>
                <w:sz w:val="20"/>
                <w:szCs w:val="20"/>
                <w:color w:val="auto"/>
              </w:rPr>
            </w:pPr>
            <w:r>
              <w:rPr>
                <w:rFonts w:ascii="Arial" w:cs="Arial" w:eastAsia="Arial" w:hAnsi="Arial"/>
                <w:sz w:val="18"/>
                <w:szCs w:val="18"/>
                <w:i w:val="1"/>
                <w:iCs w:val="1"/>
                <w:color w:val="auto"/>
              </w:rPr>
              <w:t>incorporation or organization)</w:t>
            </w:r>
          </w:p>
        </w:tc>
        <w:tc>
          <w:tcPr>
            <w:tcW w:w="4460" w:type="dxa"/>
            <w:vAlign w:val="bottom"/>
            <w:gridSpan w:val="3"/>
          </w:tcPr>
          <w:p>
            <w:pPr>
              <w:jc w:val="center"/>
              <w:ind w:right="590"/>
              <w:spacing w:after="0"/>
              <w:rPr>
                <w:sz w:val="20"/>
                <w:szCs w:val="20"/>
                <w:color w:val="auto"/>
              </w:rPr>
            </w:pPr>
            <w:r>
              <w:rPr>
                <w:rFonts w:ascii="Arial" w:cs="Arial" w:eastAsia="Arial" w:hAnsi="Arial"/>
                <w:sz w:val="18"/>
                <w:szCs w:val="18"/>
                <w:i w:val="1"/>
                <w:iCs w:val="1"/>
                <w:color w:val="auto"/>
                <w:w w:val="91"/>
              </w:rPr>
              <w:t>Classification Code Number)</w:t>
            </w:r>
          </w:p>
        </w:tc>
        <w:tc>
          <w:tcPr>
            <w:tcW w:w="3140" w:type="dxa"/>
            <w:vAlign w:val="bottom"/>
          </w:tcPr>
          <w:p>
            <w:pPr>
              <w:jc w:val="center"/>
              <w:ind w:right="59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3640" w:type="dxa"/>
            <w:vAlign w:val="bottom"/>
          </w:tcPr>
          <w:p>
            <w:pPr>
              <w:spacing w:after="0"/>
              <w:rPr>
                <w:sz w:val="24"/>
                <w:szCs w:val="24"/>
                <w:color w:val="auto"/>
              </w:rPr>
            </w:pPr>
          </w:p>
        </w:tc>
        <w:tc>
          <w:tcPr>
            <w:tcW w:w="446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91"/>
              </w:rPr>
              <w:t>BurTech Acquisition Corp.</w:t>
            </w:r>
          </w:p>
        </w:tc>
        <w:tc>
          <w:tcPr>
            <w:tcW w:w="3140" w:type="dxa"/>
            <w:vAlign w:val="bottom"/>
          </w:tcPr>
          <w:p>
            <w:pPr>
              <w:spacing w:after="0"/>
              <w:rPr>
                <w:sz w:val="24"/>
                <w:szCs w:val="24"/>
                <w:color w:val="auto"/>
              </w:rPr>
            </w:pPr>
          </w:p>
        </w:tc>
      </w:tr>
      <w:tr>
        <w:trPr>
          <w:trHeight w:val="216"/>
        </w:trPr>
        <w:tc>
          <w:tcPr>
            <w:tcW w:w="3640" w:type="dxa"/>
            <w:vAlign w:val="bottom"/>
          </w:tcPr>
          <w:p>
            <w:pPr>
              <w:spacing w:after="0"/>
              <w:rPr>
                <w:sz w:val="18"/>
                <w:szCs w:val="18"/>
                <w:color w:val="auto"/>
              </w:rPr>
            </w:pPr>
          </w:p>
        </w:tc>
        <w:tc>
          <w:tcPr>
            <w:tcW w:w="446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9"/>
              </w:rPr>
              <w:t>1300 Pennsylvania Ave NW, Suite 700</w:t>
            </w:r>
          </w:p>
        </w:tc>
        <w:tc>
          <w:tcPr>
            <w:tcW w:w="3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446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90"/>
              </w:rPr>
              <w:t>Washington, DC 20004</w:t>
            </w:r>
          </w:p>
        </w:tc>
        <w:tc>
          <w:tcPr>
            <w:tcW w:w="3140" w:type="dxa"/>
            <w:vAlign w:val="bottom"/>
          </w:tcPr>
          <w:p>
            <w:pPr>
              <w:spacing w:after="0"/>
              <w:rPr>
                <w:sz w:val="18"/>
                <w:szCs w:val="18"/>
                <w:color w:val="auto"/>
              </w:rPr>
            </w:pPr>
          </w:p>
        </w:tc>
      </w:tr>
      <w:tr>
        <w:trPr>
          <w:trHeight w:val="220"/>
        </w:trPr>
        <w:tc>
          <w:tcPr>
            <w:tcW w:w="3640" w:type="dxa"/>
            <w:vAlign w:val="bottom"/>
          </w:tcPr>
          <w:p>
            <w:pPr>
              <w:spacing w:after="0"/>
              <w:rPr>
                <w:sz w:val="19"/>
                <w:szCs w:val="19"/>
                <w:color w:val="auto"/>
              </w:rPr>
            </w:pPr>
          </w:p>
        </w:tc>
        <w:tc>
          <w:tcPr>
            <w:tcW w:w="446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90"/>
              </w:rPr>
              <w:t>Telephone: (202) 600-5757</w:t>
            </w:r>
          </w:p>
        </w:tc>
        <w:tc>
          <w:tcPr>
            <w:tcW w:w="3140" w:type="dxa"/>
            <w:vAlign w:val="bottom"/>
          </w:tcPr>
          <w:p>
            <w:pPr>
              <w:spacing w:after="0"/>
              <w:rPr>
                <w:sz w:val="19"/>
                <w:szCs w:val="19"/>
                <w:color w:val="auto"/>
              </w:rPr>
            </w:pPr>
          </w:p>
        </w:tc>
      </w:tr>
      <w:tr>
        <w:trPr>
          <w:trHeight w:val="230"/>
        </w:trPr>
        <w:tc>
          <w:tcPr>
            <w:tcW w:w="3640" w:type="dxa"/>
            <w:vAlign w:val="bottom"/>
          </w:tcPr>
          <w:p>
            <w:pPr>
              <w:spacing w:after="0"/>
              <w:rPr>
                <w:sz w:val="20"/>
                <w:szCs w:val="20"/>
                <w:color w:val="auto"/>
              </w:rPr>
            </w:pPr>
          </w:p>
        </w:tc>
        <w:tc>
          <w:tcPr>
            <w:tcW w:w="4460" w:type="dxa"/>
            <w:vAlign w:val="bottom"/>
            <w:gridSpan w:val="3"/>
          </w:tcPr>
          <w:p>
            <w:pPr>
              <w:jc w:val="center"/>
              <w:ind w:right="390"/>
              <w:spacing w:after="0"/>
              <w:rPr>
                <w:sz w:val="20"/>
                <w:szCs w:val="20"/>
                <w:color w:val="auto"/>
              </w:rPr>
            </w:pPr>
            <w:r>
              <w:rPr>
                <w:rFonts w:ascii="Arial" w:cs="Arial" w:eastAsia="Arial" w:hAnsi="Arial"/>
                <w:sz w:val="18"/>
                <w:szCs w:val="18"/>
                <w:color w:val="auto"/>
                <w:w w:val="92"/>
              </w:rPr>
              <w:t>(Address of Principal Executive Offices)</w:t>
            </w:r>
          </w:p>
        </w:tc>
        <w:tc>
          <w:tcPr>
            <w:tcW w:w="3140" w:type="dxa"/>
            <w:vAlign w:val="bottom"/>
          </w:tcPr>
          <w:p>
            <w:pPr>
              <w:spacing w:after="0"/>
              <w:rPr>
                <w:sz w:val="20"/>
                <w:szCs w:val="20"/>
                <w:color w:val="auto"/>
              </w:rPr>
            </w:pPr>
          </w:p>
        </w:tc>
      </w:tr>
      <w:tr>
        <w:trPr>
          <w:trHeight w:val="432"/>
        </w:trPr>
        <w:tc>
          <w:tcPr>
            <w:tcW w:w="8100" w:type="dxa"/>
            <w:vAlign w:val="bottom"/>
            <w:gridSpan w:val="4"/>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3140" w:type="dxa"/>
            <w:vAlign w:val="bottom"/>
          </w:tcPr>
          <w:p>
            <w:pPr>
              <w:spacing w:after="0"/>
              <w:rPr>
                <w:sz w:val="24"/>
                <w:szCs w:val="24"/>
                <w:color w:val="auto"/>
              </w:rPr>
            </w:pPr>
          </w:p>
        </w:tc>
      </w:tr>
      <w:tr>
        <w:trPr>
          <w:trHeight w:val="432"/>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 of Each Class to be so Registered</w:t>
            </w:r>
          </w:p>
        </w:tc>
        <w:tc>
          <w:tcPr>
            <w:tcW w:w="1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Name of Each Exchange on Which Each Class is to be Registered</w:t>
            </w:r>
          </w:p>
        </w:tc>
      </w:tr>
      <w:tr>
        <w:trPr>
          <w:trHeight w:val="425"/>
        </w:trPr>
        <w:tc>
          <w:tcPr>
            <w:tcW w:w="3640" w:type="dxa"/>
            <w:vAlign w:val="bottom"/>
          </w:tcPr>
          <w:p>
            <w:pPr>
              <w:spacing w:after="0"/>
              <w:rPr>
                <w:sz w:val="20"/>
                <w:szCs w:val="20"/>
                <w:color w:val="auto"/>
              </w:rPr>
            </w:pPr>
            <w:r>
              <w:rPr>
                <w:rFonts w:ascii="Arial" w:cs="Arial" w:eastAsia="Arial" w:hAnsi="Arial"/>
                <w:sz w:val="18"/>
                <w:szCs w:val="18"/>
                <w:color w:val="auto"/>
              </w:rPr>
              <w:t>Class A Common Stock, $0.0001 par value</w:t>
            </w:r>
          </w:p>
        </w:tc>
        <w:tc>
          <w:tcPr>
            <w:tcW w:w="1880" w:type="dxa"/>
            <w:vAlign w:val="bottom"/>
          </w:tcPr>
          <w:p>
            <w:pPr>
              <w:spacing w:after="0"/>
              <w:rPr>
                <w:sz w:val="24"/>
                <w:szCs w:val="24"/>
                <w:color w:val="auto"/>
              </w:rPr>
            </w:pP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Nasdaq Stock Market LLC</w:t>
            </w:r>
          </w:p>
        </w:tc>
        <w:tc>
          <w:tcPr>
            <w:tcW w:w="3140" w:type="dxa"/>
            <w:vAlign w:val="bottom"/>
          </w:tcPr>
          <w:p>
            <w:pPr>
              <w:spacing w:after="0"/>
              <w:rPr>
                <w:sz w:val="24"/>
                <w:szCs w:val="24"/>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Warrants</w:t>
            </w:r>
          </w:p>
        </w:tc>
        <w:tc>
          <w:tcPr>
            <w:tcW w:w="1880" w:type="dxa"/>
            <w:vAlign w:val="bottom"/>
          </w:tcPr>
          <w:p>
            <w:pPr>
              <w:spacing w:after="0"/>
              <w:rPr>
                <w:sz w:val="24"/>
                <w:szCs w:val="24"/>
                <w:color w:val="auto"/>
              </w:rPr>
            </w:pP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Nasdaq Stock Market LLC</w:t>
            </w:r>
          </w:p>
        </w:tc>
        <w:tc>
          <w:tcPr>
            <w:tcW w:w="3140" w:type="dxa"/>
            <w:vAlign w:val="bottom"/>
          </w:tcPr>
          <w:p>
            <w:pPr>
              <w:spacing w:after="0"/>
              <w:rPr>
                <w:sz w:val="24"/>
                <w:szCs w:val="24"/>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Units</w:t>
            </w:r>
          </w:p>
        </w:tc>
        <w:tc>
          <w:tcPr>
            <w:tcW w:w="1880" w:type="dxa"/>
            <w:vAlign w:val="bottom"/>
          </w:tcPr>
          <w:p>
            <w:pPr>
              <w:spacing w:after="0"/>
              <w:rPr>
                <w:sz w:val="24"/>
                <w:szCs w:val="24"/>
                <w:color w:val="auto"/>
              </w:rPr>
            </w:pP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Nasdaq Stock Market LLC</w:t>
            </w:r>
          </w:p>
        </w:tc>
        <w:tc>
          <w:tcPr>
            <w:tcW w:w="3140" w:type="dxa"/>
            <w:vAlign w:val="bottom"/>
          </w:tcPr>
          <w:p>
            <w:pPr>
              <w:spacing w:after="0"/>
              <w:rPr>
                <w:sz w:val="24"/>
                <w:szCs w:val="24"/>
                <w:color w:val="auto"/>
              </w:rPr>
            </w:pPr>
          </w:p>
        </w:tc>
      </w:tr>
    </w:tbl>
    <w:p>
      <w:pPr>
        <w:spacing w:after="0" w:line="20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u w:val="single" w:color="auto"/>
          <w:color w:val="auto"/>
        </w:rPr>
        <w:t>333- 258914</w:t>
      </w:r>
      <w:r>
        <w:rPr>
          <w:rFonts w:ascii="Arial" w:cs="Arial" w:eastAsia="Arial" w:hAnsi="Arial"/>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u w:val="single" w:color="auto"/>
          <w:color w:val="auto"/>
        </w:rPr>
        <w:t>None</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On December 08, 2021 BurTech Acquisition Corp. filed a Form 8-A (File No. 001-41139) where the name of the Exchange on which securities are to be registered was entered incorrectly and should have read “Nasdaq Stock Market LLC” for all classes of securities being registered. This Amendment No. 1 is being filed solely to correct the name of the Exchange on which the securities are to be registered for all classes to “Nasdaq Stock Market LLC”. Other than amending the name of the Exchange on the face page of this document, there have been no other changes made.</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description of the Class A common stock, warrants and units to be registered hereunder is contained in the section entitled “Description of Securities” in the Prospectus included in BurTech Acquisition Corp.’s (the “Registrant”) Registration Statement on Form S-1 (Registration No. 333-</w:t>
      </w:r>
      <w:r>
        <w:rPr>
          <w:rFonts w:ascii="Arial" w:cs="Arial" w:eastAsia="Arial" w:hAnsi="Arial"/>
          <w:sz w:val="17"/>
          <w:szCs w:val="17"/>
          <w:u w:val="single" w:color="auto"/>
          <w:color w:val="auto"/>
        </w:rPr>
        <w:t>258914</w:t>
      </w:r>
      <w:r>
        <w:rPr>
          <w:rFonts w:ascii="Arial" w:cs="Arial" w:eastAsia="Arial" w:hAnsi="Arial"/>
          <w:sz w:val="17"/>
          <w:szCs w:val="17"/>
          <w:color w:val="auto"/>
        </w:rPr>
        <w:t>) initially filed with the Securities and Exchange Commission on August 19, 2021, as amended from time to time (the “Registration Statement”). This information is incorporated herein by reference. Any form of prospectus or prospectus supplement to the Registration Statement that includes such descriptions and that are filed subsequently to the Registration Statement are hereby also incorporated by reference herein.</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because no other securities of the Registrant are registered on The NASDAQ Global Market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December 9, 2021</w:t>
      </w:r>
      <w:r>
        <w:rPr>
          <w:sz w:val="20"/>
          <w:szCs w:val="20"/>
          <w:color w:val="auto"/>
        </w:rPr>
        <w:tab/>
      </w:r>
      <w:r>
        <w:rPr>
          <w:rFonts w:ascii="Arial" w:cs="Arial" w:eastAsia="Arial" w:hAnsi="Arial"/>
          <w:sz w:val="16"/>
          <w:szCs w:val="16"/>
          <w:color w:val="auto"/>
        </w:rPr>
        <w:t>BurTech Acquisition Corp.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134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2021-12-09T15:28:09Z</dcterms:created>
  <dcterms:modified xsi:type="dcterms:W3CDTF">2021-12-09T15:28:09Z</dcterms:modified>
</cp:coreProperties>
</file>