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171450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207645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256540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292735</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0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9"/>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4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60" w:type="dxa"/>
            <w:vAlign w:val="bottom"/>
          </w:tcPr>
          <w:p>
            <w:pPr>
              <w:jc w:val="center"/>
              <w:ind w:left="9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40"/>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0"/>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3040" w:type="dxa"/>
            <w:vAlign w:val="bottom"/>
          </w:tcPr>
          <w:p>
            <w:pPr>
              <w:spacing w:after="0"/>
              <w:rPr>
                <w:sz w:val="23"/>
                <w:szCs w:val="23"/>
                <w:color w:val="auto"/>
              </w:rPr>
            </w:pPr>
          </w:p>
        </w:tc>
        <w:tc>
          <w:tcPr>
            <w:tcW w:w="20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215"/>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40" w:type="dxa"/>
            <w:vAlign w:val="bottom"/>
          </w:tcPr>
          <w:p>
            <w:pPr>
              <w:spacing w:after="0"/>
              <w:rPr>
                <w:sz w:val="18"/>
                <w:szCs w:val="18"/>
                <w:color w:val="auto"/>
              </w:rPr>
            </w:pPr>
          </w:p>
        </w:tc>
        <w:tc>
          <w:tcPr>
            <w:tcW w:w="2060" w:type="dxa"/>
            <w:vAlign w:val="bottom"/>
          </w:tcPr>
          <w:p>
            <w:pPr>
              <w:jc w:val="center"/>
              <w:ind w:left="9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916 347-0050</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292735</wp:posOffset>
            </wp:positionV>
            <wp:extent cx="925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5020" w:type="dxa"/>
            <w:vAlign w:val="bottom"/>
          </w:tcPr>
          <w:p>
            <w:pPr>
              <w:spacing w:after="0"/>
              <w:rPr>
                <w:sz w:val="18"/>
                <w:szCs w:val="18"/>
                <w:color w:val="auto"/>
              </w:rPr>
            </w:pPr>
          </w:p>
        </w:tc>
      </w:tr>
      <w:tr>
        <w:trPr>
          <w:trHeight w:val="238"/>
        </w:trPr>
        <w:tc>
          <w:tcPr>
            <w:tcW w:w="4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6"/>
        </w:trPr>
        <w:tc>
          <w:tcPr>
            <w:tcW w:w="4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BZAI</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r>
        <w:trPr>
          <w:trHeight w:val="252"/>
        </w:trPr>
        <w:tc>
          <w:tcPr>
            <w:tcW w:w="4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BZAIW</w:t>
            </w: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r>
        <w:trPr>
          <w:trHeight w:val="234"/>
        </w:trPr>
        <w:tc>
          <w:tcPr>
            <w:tcW w:w="4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52"/>
        </w:trPr>
        <w:tc>
          <w:tcPr>
            <w:tcW w:w="4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Series A Junior Participating Preferred Stock,</w:t>
            </w: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r>
        <w:trPr>
          <w:trHeight w:val="234"/>
        </w:trPr>
        <w:tc>
          <w:tcPr>
            <w:tcW w:w="4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par value $0.0001 per share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r>
    </w:tbl>
    <w:p>
      <w:pPr>
        <w:spacing w:after="0" w:line="31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40"/>
          </w:cols>
          <w:pgMar w:left="320" w:top="1267" w:right="339" w:bottom="258" w:gutter="0" w:footer="0" w:header="0"/>
        </w:sectPr>
      </w:pPr>
    </w:p>
    <w:bookmarkStart w:id="1" w:name="page2"/>
    <w:bookmarkEnd w:id="1"/>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31" w:right="499" w:bottom="1440" w:gutter="0" w:footer="0" w:header="0"/>
        </w:sectPr>
      </w:pPr>
    </w:p>
    <w:bookmarkStart w:id="3" w:name="page4"/>
    <w:bookmarkEnd w:id="3"/>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May 5, 2026, Blaize Holdings, Inc. (the “Company”) entered into an underwriting agreement (the “Underwriting Agreement”) with Northland Securities, Inc., as representative of the several underwriters named therein (the “Underwriters”), relating to the issuance and sale (the “Offering”) of 18,918,918 shares (the “Base Shares”) of the Company’s common stock, par value $0.0001 per share (“Common Stock”) at a price to the public of $1.85 per share. Pursuant to the Underwriting Agreement, the Company granted the Underwriters a 30-day option to purchase up to 2,837,837 additional shares of Common Stock (the “Option Shares” and, together with the Base Shares, the “Shares”) at the public offering price. The gross proceeds to the Company from the Offering for the Base Shares are expected to be approximately $35.0 million, before deducting underwriting discounts and estimated offering expenses payable by the Company. If the Option Shares are fully exercised, the Company expects to receive aggregate gross proceeds of approximately $40.25 million, before deducting underwriting discounts and other offering expenses.</w:t>
      </w: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of the Offering primarily for working capital and other general corporate purposes. The Offering is expected to close on May 7, 2026.</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Offering was made pursuant to the Company’s effective shelf registration statement on Form S-3 (File No. 333-292986), which was declared effective on February 4, 2026 by the Securities and Exchange Commission (the “SEC”), including the base prospectus contained therein, and the prospectus supplement dated May 6, 2026 (the “Prospectus Supplement”).</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the Underwriting Agreement, and may be subject to limitations agreed upon by the contracting parties.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the Company’s executive officers and directors has entered into a lock-up agreement (the “Lock-Up Agreement”) pursuant to which each has agreed, subject to certain exceptions set forth therein, not to dispose of or hedge any shares of Common Stock of the Company or securities convertible into or exchangeable for shares of Common Stock during the period from the date of the Lock-Up Agreement continuing through the close of business sixty (60) days after the date of the Prospectus Supplement.</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Underwriting Agreement and the Lock-Up Agreement do not purport to be complete and are qualified in their entirety by reference to the full texts of the Underwriting Agreement and the form of Lock-Up Agreement, copies of which are filed as Exhibit 1.1 and Exhibit 10.1, respectively, to this Current Report on Form 8-K (the “Current Report”), and are incorporated by reference herein.</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copy of the opinion of Faegre Drinker Biddle &amp; Reath LLP relating to the legality of the issuance and sale of the shares of Common Stock is attached as Exhibit 5.1 to this Current Report.</w:t>
      </w:r>
    </w:p>
    <w:p>
      <w:pPr>
        <w:spacing w:after="0" w:line="18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On May 5, 2026, the Company entered into Amendment No. 1 to Common Stock Purchase Warrants (the “Warrant Amendment”) with Polar Multi-Strategy Master Fund and Polar Long/Short Master Fund (together, the “Holders”) amending the outstanding warrants to purchase common stock previously issued to Holders to adjust the exercise price from $5.00 per share to $3.00 per share. The foregoing description of the Warrant Amendment does not purport to be complete and is qualified in its entirety by reference to the full text of the Warrant Amendment, a copy of which is attached as Exhibit 10.2 to this Current Report and is incorporated by reference herein.</w:t>
      </w: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Current Report, including the exhibits attached hereto, does not constitute an offer to sell or the solicitation of an offer to buy any Company securities, and shall not constitute an offer, solicitation or sale in any jurisdiction in which such offering, solicitation or sale would be unlawful.</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Offering and a copy of the press release announcing the pricing of the Offering are attached to this Current Report as Exhibits 99.1 and 99.2,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4" w:name="page5"/>
    <w:bookmarkEnd w:id="4"/>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6"/>
        </w:trPr>
        <w:tc>
          <w:tcPr>
            <w:tcW w:w="1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Underwriting Agreement, by and between Blaize Holdings, Inc. and Northland Securities, Inc., dated May 5, 2026</w:t>
            </w: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Opinion of Faegre Drinker Biddle &amp; Reath LLP</w:t>
            </w:r>
          </w:p>
        </w:tc>
        <w:tc>
          <w:tcPr>
            <w:tcW w:w="1260" w:type="dxa"/>
            <w:vAlign w:val="bottom"/>
            <w:gridSpan w:val="2"/>
          </w:tcPr>
          <w:p>
            <w:pPr>
              <w:spacing w:after="0"/>
              <w:rPr>
                <w:sz w:val="21"/>
                <w:szCs w:val="21"/>
                <w:color w:val="auto"/>
              </w:rPr>
            </w:pP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Form of Lock-Up Agreement</w:t>
            </w:r>
          </w:p>
        </w:tc>
        <w:tc>
          <w:tcPr>
            <w:tcW w:w="6040" w:type="dxa"/>
            <w:vAlign w:val="bottom"/>
            <w:gridSpan w:val="6"/>
          </w:tcPr>
          <w:p>
            <w:pPr>
              <w:spacing w:after="0"/>
              <w:rPr>
                <w:sz w:val="21"/>
                <w:szCs w:val="2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Amendment No. 1 to Common Stock Purchase Warrants, by and among Blaize Holdings, Inc., Polar Long/Short Master Fund, and</w:t>
            </w:r>
          </w:p>
        </w:tc>
      </w:tr>
      <w:tr>
        <w:trPr>
          <w:trHeight w:val="196"/>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Polar Multi-Strategy Master Fund, dated May 5, 2026</w:t>
            </w:r>
          </w:p>
        </w:tc>
        <w:tc>
          <w:tcPr>
            <w:tcW w:w="10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3"/>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Consent of Faegre Drinker Biddle &amp; Reath LLP (included in Exhibit 5.1)</w:t>
            </w:r>
          </w:p>
        </w:tc>
        <w:tc>
          <w:tcPr>
            <w:tcW w:w="4220" w:type="dxa"/>
            <w:vAlign w:val="bottom"/>
            <w:gridSpan w:val="3"/>
          </w:tcPr>
          <w:p>
            <w:pPr>
              <w:spacing w:after="0"/>
              <w:rPr>
                <w:sz w:val="21"/>
                <w:szCs w:val="21"/>
                <w:color w:val="auto"/>
              </w:rPr>
            </w:pP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Press release issued by Blaize Holdings, Inc., dated May 5, 2026</w:t>
            </w:r>
          </w:p>
        </w:tc>
        <w:tc>
          <w:tcPr>
            <w:tcW w:w="4840" w:type="dxa"/>
            <w:vAlign w:val="bottom"/>
            <w:gridSpan w:val="4"/>
          </w:tcPr>
          <w:p>
            <w:pPr>
              <w:spacing w:after="0"/>
              <w:rPr>
                <w:sz w:val="21"/>
                <w:szCs w:val="21"/>
                <w:color w:val="auto"/>
              </w:rPr>
            </w:pP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Press release issued by Blaize Holdings, Inc., dated May 6, 2026</w:t>
            </w:r>
          </w:p>
        </w:tc>
        <w:tc>
          <w:tcPr>
            <w:tcW w:w="4840" w:type="dxa"/>
            <w:vAlign w:val="bottom"/>
            <w:gridSpan w:val="4"/>
          </w:tcPr>
          <w:p>
            <w:pPr>
              <w:spacing w:after="0"/>
              <w:rPr>
                <w:sz w:val="21"/>
                <w:szCs w:val="21"/>
                <w:color w:val="auto"/>
              </w:rPr>
            </w:pPr>
          </w:p>
        </w:tc>
      </w:tr>
      <w:tr>
        <w:trPr>
          <w:trHeight w:val="291"/>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73"/>
        </w:trPr>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37"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Kim Evans</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Kim Evans</w:t>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General Counsel</w:t>
      </w:r>
    </w:p>
    <w:p>
      <w:pPr>
        <w:sectPr>
          <w:pgSz w:w="11900" w:h="16838" w:orient="portrait"/>
          <w:cols w:equalWidth="0" w:num="1">
            <w:col w:w="11200"/>
          </w:cols>
          <w:pgMar w:left="320" w:top="1211"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BLAIZE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18,918,918 Shares of Common Stock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May 5,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NORTHLAND SECURITIES, INC.</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As Representative of the several Underwriters</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150 South Fifth Street, Suite 3300</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Minneapolis, MN 55402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Blaize Holdings,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proposes to issue and sell to the several underwriters listed on Schedule 1 hereto (the “</w:t>
      </w:r>
      <w:r>
        <w:rPr>
          <w:rFonts w:ascii="Times New Roman" w:cs="Times New Roman" w:eastAsia="Times New Roman" w:hAnsi="Times New Roman"/>
          <w:sz w:val="20"/>
          <w:szCs w:val="20"/>
          <w:b w:val="1"/>
          <w:bCs w:val="1"/>
          <w:color w:val="auto"/>
        </w:rPr>
        <w:t>Underwriters</w:t>
      </w:r>
      <w:r>
        <w:rPr>
          <w:rFonts w:ascii="Times New Roman" w:cs="Times New Roman" w:eastAsia="Times New Roman" w:hAnsi="Times New Roman"/>
          <w:sz w:val="20"/>
          <w:szCs w:val="20"/>
          <w:color w:val="auto"/>
        </w:rPr>
        <w:t>”), for whom you are acting as representative (the “</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of, an aggregate of 18,918,918 shares (the “</w:t>
      </w:r>
      <w:r>
        <w:rPr>
          <w:rFonts w:ascii="Times New Roman" w:cs="Times New Roman" w:eastAsia="Times New Roman" w:hAnsi="Times New Roman"/>
          <w:sz w:val="20"/>
          <w:szCs w:val="20"/>
          <w:b w:val="1"/>
          <w:bCs w:val="1"/>
          <w:color w:val="auto"/>
        </w:rPr>
        <w:t>Underwritten Shares</w:t>
      </w:r>
      <w:r>
        <w:rPr>
          <w:rFonts w:ascii="Times New Roman" w:cs="Times New Roman" w:eastAsia="Times New Roman" w:hAnsi="Times New Roman"/>
          <w:sz w:val="20"/>
          <w:szCs w:val="20"/>
          <w:color w:val="auto"/>
        </w:rPr>
        <w:t>”) of common stock, par value $0.0001 per share (the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of the Company and, at the option of the Underwriters, up to an additional 2,837,837 shares of Common Stock (the “</w:t>
      </w:r>
      <w:r>
        <w:rPr>
          <w:rFonts w:ascii="Times New Roman" w:cs="Times New Roman" w:eastAsia="Times New Roman" w:hAnsi="Times New Roman"/>
          <w:sz w:val="20"/>
          <w:szCs w:val="20"/>
          <w:b w:val="1"/>
          <w:bCs w:val="1"/>
          <w:color w:val="auto"/>
        </w:rPr>
        <w:t>Option Shares</w:t>
      </w:r>
      <w:r>
        <w:rPr>
          <w:rFonts w:ascii="Times New Roman" w:cs="Times New Roman" w:eastAsia="Times New Roman" w:hAnsi="Times New Roman"/>
          <w:sz w:val="20"/>
          <w:szCs w:val="20"/>
          <w:color w:val="auto"/>
        </w:rPr>
        <w:t>”). The Underwritten Shares and the Option Shares are herein referred to as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The shares of Common Stock to be outstanding after giving effect to the sale of the Shares are referred to herein as the “</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hereby confirms its agreement with the Underwriters concerning the purchase and sale of the Shares, as follows:</w:t>
      </w:r>
    </w:p>
    <w:p>
      <w:pPr>
        <w:spacing w:after="0" w:line="229" w:lineRule="exact"/>
        <w:rPr>
          <w:sz w:val="20"/>
          <w:szCs w:val="20"/>
          <w:color w:val="auto"/>
        </w:rPr>
      </w:pPr>
    </w:p>
    <w:p>
      <w:pPr>
        <w:jc w:val="both"/>
        <w:ind w:firstLine="656"/>
        <w:spacing w:after="0" w:line="248" w:lineRule="auto"/>
        <w:tabs>
          <w:tab w:leader="none" w:pos="127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The Company has prepared and filed with the Securities and Exchange Commission (the “</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under the Securities Act of 1933, as amended, and the rules and regulations of the Commission thereunder (collectively,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a registration statement on Form S-3 (File No. 333-292986), including a prospectus, relating to the Shares, which was declared effective by the Commission on February 4, 2026. Such registration statement, as amended at the time it became effective, including the information, if any, deemed pursuant to Rule 430A, 430B or 430C under the Securities Act to be part of the registration statement at the time of its effectiveness (“</w:t>
      </w:r>
      <w:r>
        <w:rPr>
          <w:rFonts w:ascii="Times New Roman" w:cs="Times New Roman" w:eastAsia="Times New Roman" w:hAnsi="Times New Roman"/>
          <w:sz w:val="20"/>
          <w:szCs w:val="20"/>
          <w:b w:val="1"/>
          <w:bCs w:val="1"/>
          <w:color w:val="auto"/>
        </w:rPr>
        <w:t>Rule 430 Information</w:t>
      </w:r>
      <w:r>
        <w:rPr>
          <w:rFonts w:ascii="Times New Roman" w:cs="Times New Roman" w:eastAsia="Times New Roman" w:hAnsi="Times New Roman"/>
          <w:sz w:val="20"/>
          <w:szCs w:val="20"/>
          <w:color w:val="auto"/>
        </w:rPr>
        <w:t>”), is referred to herein as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and as used herein, the term “</w:t>
      </w:r>
      <w:r>
        <w:rPr>
          <w:rFonts w:ascii="Times New Roman" w:cs="Times New Roman" w:eastAsia="Times New Roman" w:hAnsi="Times New Roman"/>
          <w:sz w:val="20"/>
          <w:szCs w:val="20"/>
          <w:b w:val="1"/>
          <w:bCs w:val="1"/>
          <w:color w:val="auto"/>
        </w:rPr>
        <w:t>Preliminary Prospectus</w:t>
      </w:r>
      <w:r>
        <w:rPr>
          <w:rFonts w:ascii="Times New Roman" w:cs="Times New Roman" w:eastAsia="Times New Roman" w:hAnsi="Times New Roman"/>
          <w:sz w:val="20"/>
          <w:szCs w:val="20"/>
          <w:color w:val="auto"/>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 means the prospectus in the form first used (or made available upon request of purchasers pursuant to Rule 173 under the Securities Act) in connection with confirmation of sales of the Shares. Any reference in this underwriting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w:t>
      </w:r>
    </w:p>
    <w:p>
      <w:pPr>
        <w:sectPr>
          <w:pgSz w:w="11900" w:h="16838" w:orient="portrait"/>
          <w:cols w:equalWidth="0" w:num="1">
            <w:col w:w="11240"/>
          </w:cols>
          <w:pgMar w:left="320" w:top="114" w:right="339" w:bottom="1440" w:gutter="0" w:footer="0" w:header="0"/>
        </w:sectPr>
      </w:pPr>
    </w:p>
    <w:bookmarkStart w:id="7" w:name="page8"/>
    <w:bookmarkEnd w:id="7"/>
    <w:p>
      <w:pPr>
        <w:jc w:val="both"/>
        <w:spacing w:after="0" w:line="263" w:lineRule="auto"/>
        <w:rPr>
          <w:sz w:val="20"/>
          <w:szCs w:val="20"/>
          <w:color w:val="auto"/>
        </w:rPr>
      </w:pPr>
      <w:r>
        <w:rPr>
          <w:rFonts w:ascii="Times New Roman" w:cs="Times New Roman" w:eastAsia="Times New Roman" w:hAnsi="Times New Roman"/>
          <w:sz w:val="20"/>
          <w:szCs w:val="20"/>
          <w:color w:val="auto"/>
        </w:rPr>
        <w:t>Securities Exchange Act of 1934, as amended, and the rules and regulations of the Commission thereunder (collectively,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that are deemed to be incorporated by reference therein. Capitalized terms used but not defined herein shall have the meanings given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terms in the Registration Statement and the Prospectus.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At or prior to the Applicable Time (as defined below), the Company had prepared the following information (collectively with the pricing information set forth on Annex A, the “</w:t>
      </w:r>
      <w:r>
        <w:rPr>
          <w:rFonts w:ascii="Times New Roman" w:cs="Times New Roman" w:eastAsia="Times New Roman" w:hAnsi="Times New Roman"/>
          <w:sz w:val="20"/>
          <w:szCs w:val="20"/>
          <w:b w:val="1"/>
          <w:bCs w:val="1"/>
          <w:color w:val="auto"/>
        </w:rPr>
        <w:t>Pricing Disclosure Package</w:t>
      </w:r>
      <w:r>
        <w:rPr>
          <w:rFonts w:ascii="Times New Roman" w:cs="Times New Roman" w:eastAsia="Times New Roman" w:hAnsi="Times New Roman"/>
          <w:sz w:val="20"/>
          <w:szCs w:val="20"/>
          <w:color w:val="auto"/>
        </w:rPr>
        <w:t>”): a Preliminary Prospectus dated May 5, 2026 and each “free-writing prospectus” (as defined pursuant to Rule 405 under the Securities Act) listed on Annex A hereto.</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Time</w:t>
      </w:r>
      <w:r>
        <w:rPr>
          <w:rFonts w:ascii="Times New Roman" w:cs="Times New Roman" w:eastAsia="Times New Roman" w:hAnsi="Times New Roman"/>
          <w:sz w:val="20"/>
          <w:szCs w:val="20"/>
          <w:color w:val="auto"/>
        </w:rPr>
        <w:t>” means 8:45 P.M., New York City time, on May 5, 2026.</w:t>
      </w:r>
    </w:p>
    <w:p>
      <w:pPr>
        <w:spacing w:after="0" w:line="220" w:lineRule="exact"/>
        <w:rPr>
          <w:sz w:val="20"/>
          <w:szCs w:val="20"/>
          <w:color w:val="auto"/>
        </w:rPr>
      </w:pPr>
    </w:p>
    <w:p>
      <w:pPr>
        <w:ind w:left="1000" w:hanging="344"/>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of the Shares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58" w:lineRule="auto"/>
        <w:tabs>
          <w:tab w:leader="none" w:pos="11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issue and sell the Underwritten Shares to the Underwriters as provided in this Agreement, and each Underwriter, on the basis of the representations, warranties and agreements set forth herein and subject to the conditions set forth herein, agrees to purchase at a price per share of $1.739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from the Company the number of Underwritten Shares set forth opposite such Underwriter’s name in Schedule 1 hereto.</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from the Company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 in its sole discretion shall make.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Underwriters may exercise the option to purchase Option Shares at any time in whole, or from time to time in part, on or before the thirtieth day following the date of the Prospectus, by written notice from the Representative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Any such notice shall be given at least two business days prior to the date and time of delivery specified therein.</w:t>
      </w:r>
    </w:p>
    <w:p>
      <w:pPr>
        <w:spacing w:after="0" w:line="192" w:lineRule="exact"/>
        <w:rPr>
          <w:sz w:val="20"/>
          <w:szCs w:val="20"/>
          <w:color w:val="auto"/>
        </w:rPr>
      </w:pPr>
    </w:p>
    <w:p>
      <w:pPr>
        <w:jc w:val="both"/>
        <w:ind w:firstLine="656"/>
        <w:spacing w:after="0" w:line="261" w:lineRule="auto"/>
        <w:tabs>
          <w:tab w:leader="none" w:pos="108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the Underwriters.</w:t>
      </w:r>
    </w:p>
    <w:p>
      <w:pPr>
        <w:spacing w:after="0" w:line="181" w:lineRule="exact"/>
        <w:rPr>
          <w:rFonts w:ascii="Times New Roman" w:cs="Times New Roman" w:eastAsia="Times New Roman" w:hAnsi="Times New Roman"/>
          <w:sz w:val="20"/>
          <w:szCs w:val="20"/>
          <w:color w:val="auto"/>
        </w:rPr>
      </w:pPr>
    </w:p>
    <w:p>
      <w:pPr>
        <w:jc w:val="both"/>
        <w:ind w:firstLine="656"/>
        <w:spacing w:after="0" w:line="270" w:lineRule="auto"/>
        <w:tabs>
          <w:tab w:leader="none" w:pos="108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for the Shares shall be made by wire transfer in immediately available funds to the account specified by the Company to the Representative in the case of the Underwritten Shares, at the offices of Reed Smith LLP, counsel for the Representative, at 599 Lexington Avenue, 22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Floor, New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43"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ectPr>
          <w:pgSz w:w="11900" w:h="16838" w:orient="portrait"/>
          <w:cols w:equalWidth="0" w:num="1">
            <w:col w:w="11240"/>
          </w:cols>
          <w:pgMar w:left="320" w:top="1409" w:right="339" w:bottom="1440" w:gutter="0" w:footer="0" w:header="0"/>
        </w:sectPr>
      </w:pPr>
    </w:p>
    <w:bookmarkStart w:id="8" w:name="page9"/>
    <w:bookmarkEnd w:id="8"/>
    <w:p>
      <w:pPr>
        <w:jc w:val="both"/>
        <w:spacing w:after="0" w:line="270" w:lineRule="auto"/>
        <w:rPr>
          <w:sz w:val="20"/>
          <w:szCs w:val="20"/>
          <w:color w:val="auto"/>
        </w:rPr>
      </w:pPr>
      <w:r>
        <w:rPr>
          <w:rFonts w:ascii="Times New Roman" w:cs="Times New Roman" w:eastAsia="Times New Roman" w:hAnsi="Times New Roman"/>
          <w:sz w:val="19"/>
          <w:szCs w:val="19"/>
          <w:color w:val="auto"/>
        </w:rPr>
        <w:t>York, NY 10022, at 10:00 A.M. New York City time on May 7, 2026, or at such other time or place on the same or such other date, not later than the fifth business day thereafter, as the Representative and the Company may agree upon in writing or, in the case of the Option Shares, on the date and at the time and place specified by the Representative in the written notice of the Underwriters’ election to purchase such Option Shares. The time and date of such payment for the Underwritten Shares is referred to herein as the “</w:t>
      </w: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and the time and date for such payment for the Option Shares, if other than the Closing Date, is herein referred to as the “</w:t>
      </w:r>
      <w:r>
        <w:rPr>
          <w:rFonts w:ascii="Times New Roman" w:cs="Times New Roman" w:eastAsia="Times New Roman" w:hAnsi="Times New Roman"/>
          <w:sz w:val="19"/>
          <w:szCs w:val="19"/>
          <w:b w:val="1"/>
          <w:bCs w:val="1"/>
          <w:color w:val="auto"/>
        </w:rPr>
        <w:t>Additional Closing Date</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Payment for the Shares to be purchased on the Closing Date or the Additional Closing Date, as the case may be, shall be made against delivery to the Representative for the respective accounts of the several Underwriters of the Shares to be purchased on the Closing Date or the Additional Closing Date, as the case may be, with any transfer taxes payable in connection with the sale of such Shares duly paid by the Company. Delivery of the Shares shall be made through the facilities of The Depository Trust Company (“</w:t>
      </w:r>
      <w:r>
        <w:rPr>
          <w:rFonts w:ascii="Times New Roman" w:cs="Times New Roman" w:eastAsia="Times New Roman" w:hAnsi="Times New Roman"/>
          <w:sz w:val="20"/>
          <w:szCs w:val="20"/>
          <w:b w:val="1"/>
          <w:bCs w:val="1"/>
          <w:color w:val="auto"/>
        </w:rPr>
        <w:t>DTC</w:t>
      </w:r>
      <w:r>
        <w:rPr>
          <w:rFonts w:ascii="Times New Roman" w:cs="Times New Roman" w:eastAsia="Times New Roman" w:hAnsi="Times New Roman"/>
          <w:sz w:val="20"/>
          <w:szCs w:val="20"/>
          <w:color w:val="auto"/>
        </w:rPr>
        <w:t>”) unless the Underwriters shall otherwise instruct.</w:t>
      </w:r>
    </w:p>
    <w:p>
      <w:pPr>
        <w:spacing w:after="0" w:line="192" w:lineRule="exact"/>
        <w:rPr>
          <w:sz w:val="20"/>
          <w:szCs w:val="20"/>
          <w:color w:val="auto"/>
        </w:rPr>
      </w:pPr>
    </w:p>
    <w:p>
      <w:pPr>
        <w:jc w:val="both"/>
        <w:ind w:firstLine="656"/>
        <w:spacing w:after="0" w:line="252" w:lineRule="auto"/>
        <w:tabs>
          <w:tab w:leader="none" w:pos="110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acknowledges and agrees that the Representative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the Underwriters are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 nor any other Underwriter shall not have any responsibility or liability to the Company with respect thereto. Any review by the Representative and the other Underwriters of the Company, the transactions contemplated hereby or other matters relating to such transactions will be performed solely for the benefit of the Underwriters and shall not be on behalf of the Company.</w:t>
      </w:r>
    </w:p>
    <w:p>
      <w:pPr>
        <w:spacing w:after="0" w:line="176" w:lineRule="exact"/>
        <w:rPr>
          <w:sz w:val="20"/>
          <w:szCs w:val="20"/>
          <w:color w:val="auto"/>
        </w:rPr>
      </w:pPr>
    </w:p>
    <w:p>
      <w:pPr>
        <w:ind w:left="1000" w:hanging="344"/>
        <w:spacing w:after="0"/>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The Company represents and warrants to each Underwriter that:</w:t>
      </w:r>
    </w:p>
    <w:p>
      <w:pPr>
        <w:spacing w:after="0" w:line="225"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766"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Preliminary Prospectus. </w:t>
      </w:r>
      <w:r>
        <w:rPr>
          <w:rFonts w:ascii="Times New Roman" w:cs="Times New Roman" w:eastAsia="Times New Roman" w:hAnsi="Times New Roman"/>
          <w:sz w:val="20"/>
          <w:szCs w:val="20"/>
          <w:color w:val="auto"/>
        </w:rPr>
        <w:t>No order preventing or suspending the use of any Preliminary Prospectus has been issued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makes no representation or warranty with respect to any statements or omissions made in reliance upon and in conformity with information relating to the Underwriters furnished to the Company in writing by the Underwriters expressly for use in any Preliminary Prospectus, it being understood and agreed that the only such information furnished by the Underwriters consists of the information described as such in Section 7(b) hereof.</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60" w:lineRule="auto"/>
        <w:tabs>
          <w:tab w:leader="none" w:pos="1763"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Pricing Disclosure Package</w:t>
      </w:r>
      <w:r>
        <w:rPr>
          <w:rFonts w:ascii="Times New Roman" w:cs="Times New Roman" w:eastAsia="Times New Roman" w:hAnsi="Times New Roman"/>
          <w:sz w:val="20"/>
          <w:szCs w:val="20"/>
          <w:color w:val="auto"/>
        </w:rPr>
        <w:t>. The Pricing Disclosure Package as of the Applicable Time did not, and as of the Closing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makes no representation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ectPr>
          <w:pgSz w:w="11900" w:h="16838" w:orient="portrait"/>
          <w:cols w:equalWidth="0" w:num="1">
            <w:col w:w="11240"/>
          </w:cols>
          <w:pgMar w:left="320" w:top="1413"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20"/>
          <w:szCs w:val="20"/>
          <w:color w:val="auto"/>
        </w:rPr>
        <w:t>warranty with respect to any statements or omissions made in reliance upon and in conformity with information relating to the Underwriters furnished to the Company in writing by the Underwriters expressly for use in such Pricing Disclosure Package, it being understood and agreed that the only such information furnished by the Underwriters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88" w:lineRule="exact"/>
        <w:rPr>
          <w:sz w:val="20"/>
          <w:szCs w:val="20"/>
          <w:color w:val="auto"/>
        </w:rPr>
      </w:pPr>
    </w:p>
    <w:p>
      <w:pPr>
        <w:jc w:val="both"/>
        <w:ind w:firstLine="644"/>
        <w:spacing w:after="0" w:line="249" w:lineRule="auto"/>
        <w:tabs>
          <w:tab w:leader="none" w:pos="109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Issuer Free Writing Prospectus. </w:t>
      </w:r>
      <w:r>
        <w:rPr>
          <w:rFonts w:ascii="Times New Roman" w:cs="Times New Roman" w:eastAsia="Times New Roman" w:hAnsi="Times New Roman"/>
          <w:sz w:val="20"/>
          <w:szCs w:val="20"/>
          <w:color w:val="auto"/>
        </w:rPr>
        <w:t>Other than the Registration Statement, the Preliminary Prospectus and the Prospectus,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(including its agents and representatives, other than each Underwriter in its capacity as such) has not prepared, made, used, authorized, approved or referred to and will not prepare, make, use, authorize, approve or refer to any “written communication” (as defined in Rule 405 under the Securities Act) that constitutes an offer to sell or a solicitation of an offer to buy the Shares (each such communication by the Company or its agents and representatives (other than a communication referred to in clause (i) below) an “</w:t>
      </w:r>
      <w:r>
        <w:rPr>
          <w:rFonts w:ascii="Times New Roman" w:cs="Times New Roman" w:eastAsia="Times New Roman" w:hAnsi="Times New Roman"/>
          <w:sz w:val="20"/>
          <w:szCs w:val="20"/>
          <w:b w:val="1"/>
          <w:bCs w:val="1"/>
          <w:color w:val="auto"/>
        </w:rPr>
        <w:t>Issuer Free Writing Prospectus</w:t>
      </w:r>
      <w:r>
        <w:rPr>
          <w:rFonts w:ascii="Times New Roman" w:cs="Times New Roman" w:eastAsia="Times New Roman" w:hAnsi="Times New Roman"/>
          <w:sz w:val="20"/>
          <w:szCs w:val="20"/>
          <w:color w:val="auto"/>
        </w:rPr>
        <w:t xml:space="preserve">”)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makes no representation or warranty with respect to any statements or omissions made in each such Issuer Free Writing Prospectus or Preliminary Prospectus in reliance upon and in conformity with information relating to the Underwriters furnished to the Company in writing by the Underwriters expressly for use in such Issuer Free Writing Prospectus or Preliminary Prospectus, it being understood and agreed that the only such information furnished by the Underwriters consists of the information described as such in Section 7(b) hereof.</w:t>
      </w:r>
    </w:p>
    <w:p>
      <w:pPr>
        <w:spacing w:after="0" w:line="191" w:lineRule="exact"/>
        <w:rPr>
          <w:rFonts w:ascii="Times New Roman" w:cs="Times New Roman" w:eastAsia="Times New Roman" w:hAnsi="Times New Roman"/>
          <w:sz w:val="20"/>
          <w:szCs w:val="20"/>
          <w:color w:val="auto"/>
        </w:rPr>
      </w:pPr>
    </w:p>
    <w:p>
      <w:pPr>
        <w:jc w:val="both"/>
        <w:ind w:firstLine="644"/>
        <w:spacing w:after="0" w:line="251" w:lineRule="auto"/>
        <w:tabs>
          <w:tab w:leader="none" w:pos="110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Testing-the-Waters Materials. </w:t>
      </w:r>
      <w:r>
        <w:rPr>
          <w:rFonts w:ascii="Times New Roman" w:cs="Times New Roman" w:eastAsia="Times New Roman" w:hAnsi="Times New Roman"/>
          <w:sz w:val="20"/>
          <w:szCs w:val="20"/>
          <w:color w:val="auto"/>
        </w:rPr>
        <w:t>Prior to the latest of (i) the expiration or termination of the option granted to the several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Underwriters in Section 2 and (ii) the completion of the Underwriters’ distribution of the Shares, the Company has not distributed and will not distribute any offering material in connection with the offering and sale of the Shares other than the Registration Statement, the Pricing Disclosure Package, the Prospectus or any free writing prospectus reviewed and consented to by the Representative, which consent shall not be unreasonably withheld, the free writing prospectuses, if any, identified on Annex A hereto and any oral or written communication with potential investors undertaken in reliance on either Section 5(d) of, or Rule 163B under, the Securities Act (each, a “</w:t>
      </w:r>
      <w:r>
        <w:rPr>
          <w:rFonts w:ascii="Times New Roman" w:cs="Times New Roman" w:eastAsia="Times New Roman" w:hAnsi="Times New Roman"/>
          <w:sz w:val="20"/>
          <w:szCs w:val="20"/>
          <w:b w:val="1"/>
          <w:bCs w:val="1"/>
          <w:color w:val="auto"/>
        </w:rPr>
        <w:t>Testing-the-Waters Communication</w:t>
      </w:r>
      <w:r>
        <w:rPr>
          <w:rFonts w:ascii="Times New Roman" w:cs="Times New Roman" w:eastAsia="Times New Roman" w:hAnsi="Times New Roman"/>
          <w:sz w:val="20"/>
          <w:szCs w:val="20"/>
          <w:color w:val="auto"/>
        </w:rPr>
        <w:t>” and, if a written communication, a “</w:t>
      </w:r>
      <w:r>
        <w:rPr>
          <w:rFonts w:ascii="Times New Roman" w:cs="Times New Roman" w:eastAsia="Times New Roman" w:hAnsi="Times New Roman"/>
          <w:sz w:val="20"/>
          <w:szCs w:val="20"/>
          <w:b w:val="1"/>
          <w:bCs w:val="1"/>
          <w:color w:val="auto"/>
        </w:rPr>
        <w:t>Written Testing-the-Waters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Communication</w:t>
      </w:r>
      <w:r>
        <w:rPr>
          <w:rFonts w:ascii="Times New Roman" w:cs="Times New Roman" w:eastAsia="Times New Roman" w:hAnsi="Times New Roman"/>
          <w:sz w:val="20"/>
          <w:szCs w:val="20"/>
          <w:color w:val="auto"/>
        </w:rPr>
        <w:t>”). The Company has not distributed or approved for distribution any Written Testing-the-Waters Communications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those listed on Annex B hereto. Each Written Testing-the-Waters Communication, when considered together with the Pricing Disclosure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3" w:lineRule="exact"/>
        <w:rPr>
          <w:rFonts w:ascii="Times New Roman" w:cs="Times New Roman" w:eastAsia="Times New Roman" w:hAnsi="Times New Roman"/>
          <w:sz w:val="20"/>
          <w:szCs w:val="20"/>
          <w:color w:val="auto"/>
        </w:rPr>
      </w:pPr>
    </w:p>
    <w:p>
      <w:pPr>
        <w:ind w:left="4920" w:hanging="121"/>
        <w:spacing w:after="0"/>
        <w:tabs>
          <w:tab w:leader="none" w:pos="49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ectPr>
          <w:pgSz w:w="11900" w:h="16838" w:orient="portrait"/>
          <w:cols w:equalWidth="0" w:num="1">
            <w:col w:w="10580"/>
          </w:cols>
          <w:pgMar w:left="980" w:top="1413" w:right="339" w:bottom="1440" w:gutter="0" w:footer="0" w:header="0"/>
        </w:sectPr>
      </w:pPr>
    </w:p>
    <w:bookmarkStart w:id="10" w:name="page11"/>
    <w:bookmarkEnd w:id="10"/>
    <w:p>
      <w:pPr>
        <w:spacing w:after="0" w:line="283" w:lineRule="auto"/>
        <w:rPr>
          <w:sz w:val="20"/>
          <w:szCs w:val="20"/>
          <w:color w:val="auto"/>
        </w:rPr>
      </w:pPr>
      <w:r>
        <w:rPr>
          <w:rFonts w:ascii="Times New Roman" w:cs="Times New Roman" w:eastAsia="Times New Roman" w:hAnsi="Times New Roman"/>
          <w:sz w:val="20"/>
          <w:szCs w:val="20"/>
          <w:color w:val="auto"/>
        </w:rPr>
        <w:t>Package, did not, as of the Applicable Time, contain any untrue statement of a material fact or omit to state a material fact necessary to make the statements therein, in the light of the circumstances under which they were made, not misleading.</w:t>
      </w:r>
    </w:p>
    <w:p>
      <w:pPr>
        <w:spacing w:after="0" w:line="142" w:lineRule="exact"/>
        <w:rPr>
          <w:sz w:val="20"/>
          <w:szCs w:val="20"/>
          <w:color w:val="auto"/>
        </w:rPr>
      </w:pPr>
    </w:p>
    <w:p>
      <w:pPr>
        <w:jc w:val="both"/>
        <w:ind w:firstLine="644"/>
        <w:spacing w:after="0" w:line="250" w:lineRule="auto"/>
        <w:tabs>
          <w:tab w:leader="none" w:pos="106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Registration Statement and Prospectus. </w:t>
      </w:r>
      <w:r>
        <w:rPr>
          <w:rFonts w:ascii="Times New Roman" w:cs="Times New Roman" w:eastAsia="Times New Roman" w:hAnsi="Times New Roman"/>
          <w:sz w:val="20"/>
          <w:szCs w:val="20"/>
          <w:color w:val="auto"/>
        </w:rPr>
        <w:t>The Registration Statement has been declared effective by the Commission.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makes no representation or warranty with respect to any statements or omissions made in reliance upon and in conformity with information relating to the Underwriters furnished to the Company in writing by the Underwriters expressly for use in the Registration Statement and the Prospectus and any amendment or supplement thereto, it being understood and agreed that the only such information furnished by the Underwriters consists of the information described as such in Section 7(b) hereof.</w:t>
      </w:r>
    </w:p>
    <w:p>
      <w:pPr>
        <w:spacing w:after="0" w:line="186" w:lineRule="exact"/>
        <w:rPr>
          <w:rFonts w:ascii="Times New Roman" w:cs="Times New Roman" w:eastAsia="Times New Roman" w:hAnsi="Times New Roman"/>
          <w:sz w:val="20"/>
          <w:szCs w:val="20"/>
          <w:color w:val="auto"/>
        </w:rPr>
      </w:pPr>
    </w:p>
    <w:p>
      <w:pPr>
        <w:jc w:val="both"/>
        <w:ind w:firstLine="644"/>
        <w:spacing w:after="0" w:line="267" w:lineRule="auto"/>
        <w:tabs>
          <w:tab w:leader="none" w:pos="108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Incorporated Documents. </w:t>
      </w:r>
      <w:r>
        <w:rPr>
          <w:rFonts w:ascii="Times New Roman" w:cs="Times New Roman" w:eastAsia="Times New Roman" w:hAnsi="Times New Roman"/>
          <w:sz w:val="19"/>
          <w:szCs w:val="19"/>
          <w:color w:val="auto"/>
        </w:rPr>
        <w:t>The documents incorporated by reference in the Registration Statement, the Prospectus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Pricing Disclosure Package, when they were filed with the Commission conformed in all material respects to the requirements of the Exchange Act, and, at such time of filing,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19"/>
          <w:szCs w:val="19"/>
          <w:color w:val="auto"/>
        </w:rPr>
      </w:pPr>
    </w:p>
    <w:p>
      <w:pPr>
        <w:jc w:val="both"/>
        <w:ind w:firstLine="644"/>
        <w:spacing w:after="0" w:line="252" w:lineRule="auto"/>
        <w:tabs>
          <w:tab w:leader="none" w:pos="129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Financial Statements. </w:t>
      </w:r>
      <w:r>
        <w:rPr>
          <w:rFonts w:ascii="Times New Roman" w:cs="Times New Roman" w:eastAsia="Times New Roman" w:hAnsi="Times New Roman"/>
          <w:sz w:val="20"/>
          <w:szCs w:val="20"/>
          <w:color w:val="auto"/>
        </w:rPr>
        <w:t>The financial statements (including the related notes thereto) of the Company and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subsidiaries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in the United States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or incorporated by reference in the Registration Statement present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4920" w:hanging="121"/>
        <w:spacing w:after="0"/>
        <w:tabs>
          <w:tab w:leader="none" w:pos="49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ectPr>
          <w:pgSz w:w="11900" w:h="16838" w:orient="portrait"/>
          <w:cols w:equalWidth="0" w:num="1">
            <w:col w:w="10580"/>
          </w:cols>
          <w:pgMar w:left="980" w:top="1413"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20"/>
          <w:szCs w:val="20"/>
          <w:color w:val="auto"/>
        </w:rPr>
        <w:t>fairly in all material respects the information required to be stated therein;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w:t>
      </w:r>
    </w:p>
    <w:p>
      <w:pPr>
        <w:spacing w:after="0" w:line="177" w:lineRule="exact"/>
        <w:rPr>
          <w:sz w:val="20"/>
          <w:szCs w:val="20"/>
          <w:color w:val="auto"/>
        </w:rPr>
      </w:pPr>
    </w:p>
    <w:p>
      <w:pPr>
        <w:jc w:val="both"/>
        <w:ind w:firstLine="644"/>
        <w:spacing w:after="0" w:line="249" w:lineRule="auto"/>
        <w:tabs>
          <w:tab w:leader="none" w:pos="118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Material Adverse Change. </w:t>
      </w:r>
      <w:r>
        <w:rPr>
          <w:rFonts w:ascii="Times New Roman" w:cs="Times New Roman" w:eastAsia="Times New Roman" w:hAnsi="Times New Roman"/>
          <w:sz w:val="20"/>
          <w:szCs w:val="20"/>
          <w:color w:val="auto"/>
        </w:rPr>
        <w:t>Since the date of the latest audited financial statements included within all reports,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schedules, forms, statements and other documents required to be filed by the Company under the Securities Act and the Exchange Act, including pursuant to Section 13(a) or 15(d) thereof (the foregoing materials, including the exhibits thereto and documents incorporated by reference therein, together with the Prospectus, being collectively referred to herein as the “</w:t>
      </w:r>
      <w:r>
        <w:rPr>
          <w:rFonts w:ascii="Times New Roman" w:cs="Times New Roman" w:eastAsia="Times New Roman" w:hAnsi="Times New Roman"/>
          <w:sz w:val="20"/>
          <w:szCs w:val="20"/>
          <w:b w:val="1"/>
          <w:bCs w:val="1"/>
          <w:color w:val="auto"/>
        </w:rPr>
        <w:t>SEC Reports</w:t>
      </w:r>
      <w:r>
        <w:rPr>
          <w:rFonts w:ascii="Times New Roman" w:cs="Times New Roman" w:eastAsia="Times New Roman" w:hAnsi="Times New Roman"/>
          <w:sz w:val="20"/>
          <w:szCs w:val="20"/>
          <w:color w:val="auto"/>
        </w:rPr>
        <w:t>”) and except as disclosed in the Pricing Disclosure Package and the Prospectus,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except in the case of each of the foregoing clauses as otherwise disclosed in the Registration Statement, the Pricing Disclosure Package and the Prospectus.</w:t>
      </w:r>
    </w:p>
    <w:p>
      <w:pPr>
        <w:spacing w:after="0" w:line="187" w:lineRule="exact"/>
        <w:rPr>
          <w:rFonts w:ascii="Times New Roman" w:cs="Times New Roman" w:eastAsia="Times New Roman" w:hAnsi="Times New Roman"/>
          <w:sz w:val="20"/>
          <w:szCs w:val="20"/>
          <w:color w:val="auto"/>
        </w:rPr>
      </w:pPr>
    </w:p>
    <w:p>
      <w:pPr>
        <w:jc w:val="both"/>
        <w:ind w:firstLine="644"/>
        <w:spacing w:after="0" w:line="266" w:lineRule="auto"/>
        <w:tabs>
          <w:tab w:leader="none" w:pos="1033"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Organization and Good Standing. </w:t>
      </w:r>
      <w:r>
        <w:rPr>
          <w:rFonts w:ascii="Times New Roman" w:cs="Times New Roman" w:eastAsia="Times New Roman" w:hAnsi="Times New Roman"/>
          <w:sz w:val="19"/>
          <w:szCs w:val="19"/>
          <w:color w:val="auto"/>
        </w:rPr>
        <w:t>The Company and each of the subsidiaries is an entity duly incorporated or otherwise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organized, validly existing and in good standing under the laws of the jurisdiction of its incorporation or organization, with the requisite power and authority to own and use its properties and assets and to carry on its business as currently conducted, except where the failure to be in good standing could not reasonably be expected to have a Material Adverse Effect.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this Agreement, all exhibits and schedules thereto and hereto and any other documents or agreements executed in connection with the transactions contemplated hereunder (the “</w:t>
      </w:r>
      <w:r>
        <w:rPr>
          <w:rFonts w:ascii="Times New Roman" w:cs="Times New Roman" w:eastAsia="Times New Roman" w:hAnsi="Times New Roman"/>
          <w:sz w:val="19"/>
          <w:szCs w:val="19"/>
          <w:b w:val="1"/>
          <w:bCs w:val="1"/>
          <w:color w:val="auto"/>
        </w:rPr>
        <w:t>Transaction Documents</w:t>
      </w:r>
      <w:r>
        <w:rPr>
          <w:rFonts w:ascii="Times New Roman" w:cs="Times New Roman" w:eastAsia="Times New Roman" w:hAnsi="Times New Roman"/>
          <w:sz w:val="19"/>
          <w:szCs w:val="19"/>
          <w:color w:val="auto"/>
        </w:rPr>
        <w: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30" w:lineRule="exact"/>
        <w:rPr>
          <w:rFonts w:ascii="Times New Roman" w:cs="Times New Roman" w:eastAsia="Times New Roman" w:hAnsi="Times New Roman"/>
          <w:sz w:val="19"/>
          <w:szCs w:val="19"/>
          <w:color w:val="auto"/>
        </w:rPr>
      </w:pPr>
    </w:p>
    <w:p>
      <w:pPr>
        <w:ind w:left="4920" w:hanging="121"/>
        <w:spacing w:after="0"/>
        <w:tabs>
          <w:tab w:leader="none" w:pos="492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ectPr>
          <w:pgSz w:w="11900" w:h="16838" w:orient="portrait"/>
          <w:cols w:equalWidth="0" w:num="1">
            <w:col w:w="10580"/>
          </w:cols>
          <w:pgMar w:left="980" w:top="1413" w:right="339" w:bottom="1440" w:gutter="0" w:footer="0" w:header="0"/>
        </w:sectPr>
      </w:pPr>
    </w:p>
    <w:bookmarkStart w:id="12" w:name="page13"/>
    <w:bookmarkEnd w:id="12"/>
    <w:p>
      <w:pPr>
        <w:jc w:val="both"/>
        <w:spacing w:after="0" w:line="260" w:lineRule="auto"/>
        <w:rPr>
          <w:sz w:val="20"/>
          <w:szCs w:val="20"/>
          <w:color w:val="auto"/>
        </w:rPr>
      </w:pPr>
      <w:r>
        <w:rPr>
          <w:rFonts w:ascii="Times New Roman" w:cs="Times New Roman" w:eastAsia="Times New Roman" w:hAnsi="Times New Roman"/>
          <w:sz w:val="20"/>
          <w:szCs w:val="20"/>
          <w:color w:val="auto"/>
        </w:rPr>
        <w:t>Transaction Document (any of (i), (ii) or (iii), a “</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and no proceeding has been instituted in any such jurisdiction revoking, limiting or curtailing or seeking to revoke, limit or curtail such power and authority or qualification. The Company does not own or control, directly or indirectly, any corporation, association or other entity other than the subsidiaries listed in Exhibit 21.1 to the Company’s annual report on Form 10-K for the year ended December 31, 2024.</w:t>
      </w:r>
    </w:p>
    <w:p>
      <w:pPr>
        <w:spacing w:after="0" w:line="164" w:lineRule="exact"/>
        <w:rPr>
          <w:sz w:val="20"/>
          <w:szCs w:val="20"/>
          <w:color w:val="auto"/>
        </w:rPr>
      </w:pPr>
    </w:p>
    <w:p>
      <w:pPr>
        <w:jc w:val="both"/>
        <w:ind w:firstLine="644"/>
        <w:spacing w:after="0" w:line="249" w:lineRule="auto"/>
        <w:tabs>
          <w:tab w:leader="none" w:pos="111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Capitalization. </w:t>
      </w:r>
      <w:r>
        <w:rPr>
          <w:rFonts w:ascii="Times New Roman" w:cs="Times New Roman" w:eastAsia="Times New Roman" w:hAnsi="Times New Roman"/>
          <w:sz w:val="20"/>
          <w:szCs w:val="20"/>
          <w:color w:val="auto"/>
        </w:rPr>
        <w:t>The Company has an authorized capitalization as set forth in the Registration Statement, the Pricing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 Package and the Prospectus under the heading “Capitalization.” The Company has not issued any capital stock since its most recently filed periodic report under the Exchange Act, other than pursuant to the grant or exercise of employee stock options, restricted stock units or other equity awards under the Company’s equity incentive plans, the issuance of shares of Common Stock to employees pursuant to the Company’s employee stock purchase plans, or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rFonts w:ascii="Times New Roman" w:cs="Times New Roman" w:eastAsia="Times New Roman" w:hAnsi="Times New Roman"/>
          <w:sz w:val="20"/>
          <w:szCs w:val="20"/>
          <w:color w:val="auto"/>
        </w:rPr>
      </w:pPr>
    </w:p>
    <w:p>
      <w:pPr>
        <w:jc w:val="both"/>
        <w:ind w:firstLine="644"/>
        <w:spacing w:after="0" w:line="254" w:lineRule="auto"/>
        <w:tabs>
          <w:tab w:leader="none" w:pos="110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Stock Options. </w:t>
      </w:r>
      <w:r>
        <w:rPr>
          <w:rFonts w:ascii="Times New Roman" w:cs="Times New Roman" w:eastAsia="Times New Roman" w:hAnsi="Times New Roman"/>
          <w:sz w:val="20"/>
          <w:szCs w:val="20"/>
          <w:color w:val="auto"/>
        </w:rPr>
        <w:t>Each stock option granted by the Company under the Company’s equity incentive plan was granted (i)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accordance with the terms of the Company’s equity incentive plan and (ii) with an exercise price at least equal to the fair market value of the Common Stock on the date such stock option would be considered granted under GAAP and applicable law. No stock option granted under the Company’s equity incentive plan has been backdated. The Company has not knowingly granted, and there is no and has been no Company policy or practice to knowingly grant, stock options prior to, or otherwise knowingly coordinate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ind w:left="4920" w:hanging="121"/>
        <w:spacing w:after="0"/>
        <w:tabs>
          <w:tab w:leader="none" w:pos="492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w:t>
      </w:r>
    </w:p>
    <w:p>
      <w:pPr>
        <w:sectPr>
          <w:pgSz w:w="11900" w:h="16838" w:orient="portrait"/>
          <w:cols w:equalWidth="0" w:num="1">
            <w:col w:w="10580"/>
          </w:cols>
          <w:pgMar w:left="980" w:top="1409" w:right="339" w:bottom="1440" w:gutter="0" w:footer="0" w:header="0"/>
        </w:sectPr>
      </w:pPr>
    </w:p>
    <w:bookmarkStart w:id="13" w:name="page14"/>
    <w:bookmarkEnd w:id="13"/>
    <w:p>
      <w:pPr>
        <w:ind w:left="4" w:right="20"/>
        <w:spacing w:after="0" w:line="283" w:lineRule="auto"/>
        <w:rPr>
          <w:sz w:val="20"/>
          <w:szCs w:val="20"/>
          <w:color w:val="auto"/>
        </w:rPr>
      </w:pPr>
      <w:r>
        <w:rPr>
          <w:rFonts w:ascii="Times New Roman" w:cs="Times New Roman" w:eastAsia="Times New Roman" w:hAnsi="Times New Roman"/>
          <w:sz w:val="20"/>
          <w:szCs w:val="20"/>
          <w:color w:val="auto"/>
        </w:rPr>
        <w:t>the grant of stock options with, the release or other public announcement of material information regarding the Company or its Subsidiaries or their financial results or prospects.</w:t>
      </w:r>
    </w:p>
    <w:p>
      <w:pPr>
        <w:spacing w:after="0" w:line="142" w:lineRule="exact"/>
        <w:rPr>
          <w:sz w:val="20"/>
          <w:szCs w:val="20"/>
          <w:color w:val="auto"/>
        </w:rPr>
      </w:pPr>
    </w:p>
    <w:p>
      <w:pPr>
        <w:jc w:val="both"/>
        <w:ind w:left="4" w:firstLine="644"/>
        <w:spacing w:after="0" w:line="263" w:lineRule="auto"/>
        <w:tabs>
          <w:tab w:leader="none" w:pos="113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Due Authorization. </w:t>
      </w:r>
      <w:r>
        <w:rPr>
          <w:rFonts w:ascii="Times New Roman" w:cs="Times New Roman" w:eastAsia="Times New Roman" w:hAnsi="Times New Roman"/>
          <w:sz w:val="20"/>
          <w:szCs w:val="20"/>
          <w:color w:val="auto"/>
        </w:rPr>
        <w:t>The Company has full right, power and authority to execute and deliver this Agreement and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75" w:lineRule="exact"/>
        <w:rPr>
          <w:rFonts w:ascii="Times New Roman" w:cs="Times New Roman" w:eastAsia="Times New Roman" w:hAnsi="Times New Roman"/>
          <w:sz w:val="20"/>
          <w:szCs w:val="20"/>
          <w:color w:val="auto"/>
        </w:rPr>
      </w:pPr>
    </w:p>
    <w:p>
      <w:pPr>
        <w:ind w:left="1124" w:hanging="476"/>
        <w:spacing w:after="0"/>
        <w:tabs>
          <w:tab w:leader="none" w:pos="112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Underwriting Agreement. </w:t>
      </w:r>
      <w:r>
        <w:rPr>
          <w:rFonts w:ascii="Times New Roman" w:cs="Times New Roman" w:eastAsia="Times New Roman" w:hAnsi="Times New Roman"/>
          <w:sz w:val="20"/>
          <w:szCs w:val="20"/>
          <w:color w:val="auto"/>
        </w:rPr>
        <w:t>This Agreement has been duly authorized, executed and delivered by the Company.</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55" w:lineRule="auto"/>
        <w:tabs>
          <w:tab w:leader="none" w:pos="112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Shares. </w:t>
      </w:r>
      <w:r>
        <w:rPr>
          <w:rFonts w:ascii="Times New Roman" w:cs="Times New Roman" w:eastAsia="Times New Roman" w:hAnsi="Times New Roman"/>
          <w:sz w:val="20"/>
          <w:szCs w:val="20"/>
          <w:color w:val="auto"/>
        </w:rPr>
        <w:t>The Shares to be issued and sold by the Company hereunder have been duly authorized by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when issued and 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w:t>
      </w:r>
    </w:p>
    <w:p>
      <w:pPr>
        <w:spacing w:after="0" w:line="183" w:lineRule="exact"/>
        <w:rPr>
          <w:rFonts w:ascii="Times New Roman" w:cs="Times New Roman" w:eastAsia="Times New Roman" w:hAnsi="Times New Roman"/>
          <w:sz w:val="20"/>
          <w:szCs w:val="20"/>
          <w:color w:val="auto"/>
        </w:rPr>
      </w:pPr>
    </w:p>
    <w:p>
      <w:pPr>
        <w:ind w:left="4" w:firstLine="644"/>
        <w:spacing w:after="0" w:line="287"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Description of the Underwriting Agreement. </w:t>
      </w:r>
      <w:r>
        <w:rPr>
          <w:rFonts w:ascii="Times New Roman" w:cs="Times New Roman" w:eastAsia="Times New Roman" w:hAnsi="Times New Roman"/>
          <w:sz w:val="20"/>
          <w:szCs w:val="20"/>
          <w:color w:val="auto"/>
        </w:rPr>
        <w:t>This Agreement conforms in all material respects to the description thereof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contained in the Registration Statement, the Pricing Disclosure Package and the Prospectus.</w:t>
      </w:r>
    </w:p>
    <w:p>
      <w:pPr>
        <w:spacing w:after="0" w:line="138" w:lineRule="exact"/>
        <w:rPr>
          <w:rFonts w:ascii="Times New Roman" w:cs="Times New Roman" w:eastAsia="Times New Roman" w:hAnsi="Times New Roman"/>
          <w:sz w:val="20"/>
          <w:szCs w:val="20"/>
          <w:color w:val="auto"/>
        </w:rPr>
      </w:pPr>
    </w:p>
    <w:p>
      <w:pPr>
        <w:jc w:val="both"/>
        <w:ind w:left="4" w:firstLine="644"/>
        <w:spacing w:after="0" w:line="265" w:lineRule="auto"/>
        <w:tabs>
          <w:tab w:leader="none" w:pos="1148"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Violation or Default. </w:t>
      </w:r>
      <w:r>
        <w:rPr>
          <w:rFonts w:ascii="Times New Roman" w:cs="Times New Roman" w:eastAsia="Times New Roman" w:hAnsi="Times New Roman"/>
          <w:sz w:val="19"/>
          <w:szCs w:val="19"/>
          <w:color w:val="auto"/>
        </w:rPr>
        <w:t>Neither the Company nor any of its subsidiaries is (i) in violation of its charter, bylaws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governmental or regulatory authority having jurisdiction over the Company or any of its subsidiaries, except, in the case of clauses</w:t>
      </w:r>
    </w:p>
    <w:p>
      <w:pPr>
        <w:spacing w:after="0" w:line="6" w:lineRule="exact"/>
        <w:rPr>
          <w:sz w:val="20"/>
          <w:szCs w:val="20"/>
          <w:color w:val="auto"/>
        </w:rPr>
      </w:pPr>
    </w:p>
    <w:p>
      <w:pPr>
        <w:ind w:left="4" w:right="20" w:hanging="4"/>
        <w:spacing w:after="0" w:line="260" w:lineRule="auto"/>
        <w:tabs>
          <w:tab w:leader="none" w:pos="29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(iii) above, for any such default or violation that would not, individually or in the aggregate, reasonably be expected to have a Material Adverse Effect.</w:t>
      </w:r>
    </w:p>
    <w:p>
      <w:pPr>
        <w:spacing w:after="0" w:line="164"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08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Conflicts. </w:t>
      </w:r>
      <w:r>
        <w:rPr>
          <w:rFonts w:ascii="Times New Roman" w:cs="Times New Roman" w:eastAsia="Times New Roman" w:hAnsi="Times New Roman"/>
          <w:sz w:val="20"/>
          <w:szCs w:val="20"/>
          <w:color w:val="auto"/>
        </w:rPr>
        <w:t>The execution, delivery and performance by the Company of this Agreement, the issuance and sale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and the consummation of the transactions contemplated by this Agreement or the Pricing Disclosure Package and the Prospectus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charge, pledge, security interest, encumbrance, right of first refusal, preemptive right or other restriction (a “</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conflict with or result in a violation of any law, rule, regulation, order, judgment, injunction, decree or other restriction of any court or governmental authority to which the Company or a</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8" w:lineRule="exact"/>
        <w:rPr>
          <w:rFonts w:ascii="Times New Roman" w:cs="Times New Roman" w:eastAsia="Times New Roman" w:hAnsi="Times New Roman"/>
          <w:sz w:val="20"/>
          <w:szCs w:val="20"/>
          <w:color w:val="auto"/>
        </w:rPr>
      </w:pPr>
    </w:p>
    <w:p>
      <w:pPr>
        <w:ind w:left="4924" w:hanging="121"/>
        <w:spacing w:after="0"/>
        <w:tabs>
          <w:tab w:leader="none" w:pos="4924"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w:t>
      </w:r>
    </w:p>
    <w:p>
      <w:pPr>
        <w:sectPr>
          <w:pgSz w:w="11900" w:h="16838" w:orient="portrait"/>
          <w:cols w:equalWidth="0" w:num="1">
            <w:col w:w="10584"/>
          </w:cols>
          <w:pgMar w:left="976" w:top="1413"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20"/>
          <w:szCs w:val="20"/>
          <w:color w:val="auto"/>
        </w:rPr>
        <w:t>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177" w:lineRule="exact"/>
        <w:rPr>
          <w:sz w:val="20"/>
          <w:szCs w:val="20"/>
          <w:color w:val="auto"/>
        </w:rPr>
      </w:pPr>
    </w:p>
    <w:p>
      <w:pPr>
        <w:jc w:val="both"/>
        <w:ind w:firstLine="644"/>
        <w:spacing w:after="0" w:line="254" w:lineRule="auto"/>
        <w:tabs>
          <w:tab w:leader="none" w:pos="108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Consents Required. </w:t>
      </w:r>
      <w:r>
        <w:rPr>
          <w:rFonts w:ascii="Times New Roman" w:cs="Times New Roman" w:eastAsia="Times New Roman" w:hAnsi="Times New Roman"/>
          <w:sz w:val="20"/>
          <w:szCs w:val="20"/>
          <w:color w:val="auto"/>
        </w:rPr>
        <w:t>No consent, approval, authorization, order, registration or qualification of or with any court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arbitrator or 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 and under applicable state securities laws in connection with the purchase and distribution of the Shares by the Underwriters.</w:t>
      </w:r>
    </w:p>
    <w:p>
      <w:pPr>
        <w:spacing w:after="0" w:line="173" w:lineRule="exact"/>
        <w:rPr>
          <w:rFonts w:ascii="Times New Roman" w:cs="Times New Roman" w:eastAsia="Times New Roman" w:hAnsi="Times New Roman"/>
          <w:sz w:val="20"/>
          <w:szCs w:val="20"/>
          <w:color w:val="auto"/>
        </w:rPr>
      </w:pPr>
    </w:p>
    <w:p>
      <w:pPr>
        <w:jc w:val="both"/>
        <w:ind w:firstLine="644"/>
        <w:spacing w:after="0" w:line="252" w:lineRule="auto"/>
        <w:tabs>
          <w:tab w:leader="none" w:pos="123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Legal Proceedings. </w:t>
      </w:r>
      <w:r>
        <w:rPr>
          <w:rFonts w:ascii="Times New Roman" w:cs="Times New Roman" w:eastAsia="Times New Roman" w:hAnsi="Times New Roman"/>
          <w:sz w:val="20"/>
          <w:szCs w:val="20"/>
          <w:color w:val="auto"/>
        </w:rPr>
        <w:t>Except as described in the Registration Statement, the Pricing Disclosure Package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Prospectus, there are no legal, governmental or regulatory investigations, actions, demands, claims, suits, arbitrations, inquiries or proceedings (collectively, an “</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pending to which the Company or any of its subsidiaries is or may be a party or to which any property of the Company or any of its subsidiaries is or may be the subject as to which there is a reasonable possibility of an adverse determination and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89" w:lineRule="exact"/>
        <w:rPr>
          <w:rFonts w:ascii="Times New Roman" w:cs="Times New Roman" w:eastAsia="Times New Roman" w:hAnsi="Times New Roman"/>
          <w:sz w:val="20"/>
          <w:szCs w:val="20"/>
          <w:color w:val="auto"/>
        </w:rPr>
      </w:pPr>
    </w:p>
    <w:p>
      <w:pPr>
        <w:jc w:val="both"/>
        <w:ind w:firstLine="644"/>
        <w:spacing w:after="0" w:line="263" w:lineRule="auto"/>
        <w:tabs>
          <w:tab w:leader="none" w:pos="10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Independent Accountants</w:t>
      </w:r>
      <w:r>
        <w:rPr>
          <w:rFonts w:ascii="Times New Roman" w:cs="Times New Roman" w:eastAsia="Times New Roman" w:hAnsi="Times New Roman"/>
          <w:sz w:val="20"/>
          <w:szCs w:val="20"/>
          <w:color w:val="auto"/>
        </w:rPr>
        <w:t>. The Company’s accounting firm is UHY LLP. To the knowledge and belief of the Company,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accounting firm is a registered public accounting firm within the applicable rules and regulations adopted by the Commission and the Public Company Accounting Oversight Board (United States) and as required by the Exchange Act.</w:t>
      </w:r>
    </w:p>
    <w:p>
      <w:pPr>
        <w:spacing w:after="0" w:line="161" w:lineRule="exact"/>
        <w:rPr>
          <w:rFonts w:ascii="Times New Roman" w:cs="Times New Roman" w:eastAsia="Times New Roman" w:hAnsi="Times New Roman"/>
          <w:sz w:val="20"/>
          <w:szCs w:val="20"/>
          <w:color w:val="auto"/>
        </w:rPr>
      </w:pPr>
    </w:p>
    <w:p>
      <w:pPr>
        <w:jc w:val="both"/>
        <w:ind w:firstLine="644"/>
        <w:spacing w:after="0" w:line="252" w:lineRule="auto"/>
        <w:tabs>
          <w:tab w:leader="none" w:pos="115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Title to Assets</w:t>
      </w:r>
      <w:r>
        <w:rPr>
          <w:rFonts w:ascii="Times New Roman" w:cs="Times New Roman" w:eastAsia="Times New Roman" w:hAnsi="Times New Roman"/>
          <w:sz w:val="20"/>
          <w:szCs w:val="20"/>
          <w:color w:val="auto"/>
        </w:rPr>
        <w:t>. The Company and the subsidiaries have good and marketable title in fee simple to all real property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so comply would not reasonably be expected to result in a Material Adverse Effect.</w:t>
      </w:r>
    </w:p>
    <w:p>
      <w:pPr>
        <w:spacing w:after="0" w:line="189" w:lineRule="exact"/>
        <w:rPr>
          <w:rFonts w:ascii="Times New Roman" w:cs="Times New Roman" w:eastAsia="Times New Roman" w:hAnsi="Times New Roman"/>
          <w:sz w:val="20"/>
          <w:szCs w:val="20"/>
          <w:color w:val="auto"/>
        </w:rPr>
      </w:pPr>
    </w:p>
    <w:p>
      <w:pPr>
        <w:jc w:val="both"/>
        <w:ind w:firstLine="644"/>
        <w:spacing w:after="0" w:line="263" w:lineRule="auto"/>
        <w:tabs>
          <w:tab w:leader="none" w:pos="114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 The Company and the subsidiaries have, or have rights to use, all patents, patent applications,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trademarks, trademark applications, service marks, trade names, trade secrets, inventions, copyrights, licenses and other intellectual property rights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2" w:lineRule="exact"/>
        <w:rPr>
          <w:rFonts w:ascii="Times New Roman" w:cs="Times New Roman" w:eastAsia="Times New Roman" w:hAnsi="Times New Roman"/>
          <w:sz w:val="20"/>
          <w:szCs w:val="20"/>
          <w:color w:val="auto"/>
        </w:rPr>
      </w:pPr>
    </w:p>
    <w:p>
      <w:pPr>
        <w:ind w:left="4920" w:hanging="121"/>
        <w:spacing w:after="0"/>
        <w:tabs>
          <w:tab w:leader="none" w:pos="492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9 -</w:t>
      </w:r>
    </w:p>
    <w:p>
      <w:pPr>
        <w:sectPr>
          <w:pgSz w:w="11900" w:h="16838" w:orient="portrait"/>
          <w:cols w:equalWidth="0" w:num="1">
            <w:col w:w="10580"/>
          </w:cols>
          <w:pgMar w:left="980" w:top="1413" w:right="339" w:bottom="1440" w:gutter="0" w:footer="0" w:header="0"/>
        </w:sectPr>
      </w:pPr>
    </w:p>
    <w:bookmarkStart w:id="15" w:name="page16"/>
    <w:bookmarkEnd w:id="15"/>
    <w:p>
      <w:pPr>
        <w:jc w:val="both"/>
        <w:ind w:left="4"/>
        <w:spacing w:after="0" w:line="251" w:lineRule="auto"/>
        <w:rPr>
          <w:sz w:val="20"/>
          <w:szCs w:val="20"/>
          <w:color w:val="auto"/>
        </w:rPr>
      </w:pPr>
      <w:r>
        <w:rPr>
          <w:rFonts w:ascii="Times New Roman" w:cs="Times New Roman" w:eastAsia="Times New Roman" w:hAnsi="Times New Roman"/>
          <w:sz w:val="20"/>
          <w:szCs w:val="20"/>
          <w:color w:val="auto"/>
        </w:rPr>
        <w:t>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None of, and neither the Company nor any subsidiary has received a notice (written or otherwise) that any of, the Intellectual Property Rights has expired, terminated or been abandoned, or except as would not have a Material Adverse Effect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material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74" w:lineRule="exact"/>
        <w:rPr>
          <w:sz w:val="20"/>
          <w:szCs w:val="20"/>
          <w:color w:val="auto"/>
        </w:rPr>
      </w:pPr>
    </w:p>
    <w:p>
      <w:pPr>
        <w:jc w:val="both"/>
        <w:ind w:left="4" w:firstLine="644"/>
        <w:spacing w:after="0" w:line="252" w:lineRule="auto"/>
        <w:tabs>
          <w:tab w:leader="none" w:pos="1219"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Open Source Software</w:t>
      </w:r>
      <w:r>
        <w:rPr>
          <w:rFonts w:ascii="Times New Roman" w:cs="Times New Roman" w:eastAsia="Times New Roman" w:hAnsi="Times New Roman"/>
          <w:sz w:val="20"/>
          <w:szCs w:val="20"/>
          <w:color w:val="auto"/>
        </w:rPr>
        <w:t>. (i) To the best of the Company’s knowledge, the Company uses and has used any and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20"/>
          <w:szCs w:val="20"/>
          <w:b w:val="1"/>
          <w:bCs w:val="1"/>
          <w:color w:val="auto"/>
        </w:rPr>
        <w:t>Open Source Software</w:t>
      </w:r>
      <w:r>
        <w:rPr>
          <w:rFonts w:ascii="Times New Roman" w:cs="Times New Roman" w:eastAsia="Times New Roman" w:hAnsi="Times New Roman"/>
          <w:sz w:val="20"/>
          <w:szCs w:val="20"/>
          <w:color w:val="auto"/>
        </w:rPr>
        <w:t>”) in compliance with all license terms applicable to such Open Source Software; and (ii) the Company has not used or distributed and does not use or distribute any Open Source Software in any manner that requires or has required (A) the Company to permit reverse engineering of any software code or other technology owned by the Company or (B) any software code or other technology owned by the Company to be (1) disclosed or distributed in source code form, (2) licensed for the purpose of making derivative works or (3) redistributed at no charge.</w:t>
      </w:r>
    </w:p>
    <w:p>
      <w:pPr>
        <w:spacing w:after="0" w:line="187" w:lineRule="exact"/>
        <w:rPr>
          <w:rFonts w:ascii="Times New Roman" w:cs="Times New Roman" w:eastAsia="Times New Roman" w:hAnsi="Times New Roman"/>
          <w:sz w:val="20"/>
          <w:szCs w:val="20"/>
          <w:color w:val="auto"/>
        </w:rPr>
      </w:pPr>
    </w:p>
    <w:p>
      <w:pPr>
        <w:jc w:val="both"/>
        <w:ind w:left="4" w:firstLine="644"/>
        <w:spacing w:after="0" w:line="265" w:lineRule="auto"/>
        <w:tabs>
          <w:tab w:leader="none" w:pos="1094"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Data Security</w:t>
      </w:r>
      <w:r>
        <w:rPr>
          <w:rFonts w:ascii="Times New Roman" w:cs="Times New Roman" w:eastAsia="Times New Roman" w:hAnsi="Times New Roman"/>
          <w:sz w:val="19"/>
          <w:szCs w:val="19"/>
          <w:color w:val="auto"/>
        </w:rPr>
        <w:t>. (i) To the best of the Company’s knowledge, the Company has complied and is presently in compliance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all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of personal, personally identifiable, household, sensitive, confidential or regulated data (“</w:t>
      </w:r>
      <w:r>
        <w:rPr>
          <w:rFonts w:ascii="Times New Roman" w:cs="Times New Roman" w:eastAsia="Times New Roman" w:hAnsi="Times New Roman"/>
          <w:sz w:val="19"/>
          <w:szCs w:val="19"/>
          <w:b w:val="1"/>
          <w:bCs w:val="1"/>
          <w:color w:val="auto"/>
        </w:rPr>
        <w:t>Data Security Obligations</w:t>
      </w:r>
      <w:r>
        <w:rPr>
          <w:rFonts w:ascii="Times New Roman" w:cs="Times New Roman" w:eastAsia="Times New Roman" w:hAnsi="Times New Roman"/>
          <w:sz w:val="19"/>
          <w:szCs w:val="19"/>
          <w:color w:val="auto"/>
        </w:rPr>
        <w:t>”, and such data, “</w:t>
      </w:r>
      <w:r>
        <w:rPr>
          <w:rFonts w:ascii="Times New Roman" w:cs="Times New Roman" w:eastAsia="Times New Roman" w:hAnsi="Times New Roman"/>
          <w:sz w:val="19"/>
          <w:szCs w:val="19"/>
          <w:b w:val="1"/>
          <w:bCs w:val="1"/>
          <w:color w:val="auto"/>
        </w:rPr>
        <w:t>Data</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jc w:val="both"/>
        <w:ind w:left="4" w:hanging="4"/>
        <w:spacing w:after="0" w:line="249" w:lineRule="auto"/>
        <w:tabs>
          <w:tab w:leader="none" w:pos="29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received any notification of or complaint regarding and is unaware of any other facts that, individually or in the aggregate, would reasonably indicate non-compliance with any Data Security Obligation; and (iii) there is no action, suit or proceeding by or before any court or governmental agency, authority or body pending or threatened alleging non-compliance with any Data Security Obligation nor are there any incidents under internal review or investigations relating to the same, except in each case as would not have or reasonably be expected to result in a Material Adverse Effect.</w:t>
      </w:r>
    </w:p>
    <w:p>
      <w:pPr>
        <w:spacing w:after="0" w:line="191" w:lineRule="exact"/>
        <w:rPr>
          <w:rFonts w:ascii="Times New Roman" w:cs="Times New Roman" w:eastAsia="Times New Roman" w:hAnsi="Times New Roman"/>
          <w:sz w:val="20"/>
          <w:szCs w:val="20"/>
          <w:color w:val="auto"/>
        </w:rPr>
      </w:pPr>
    </w:p>
    <w:p>
      <w:pPr>
        <w:jc w:val="both"/>
        <w:ind w:left="4" w:firstLine="644"/>
        <w:spacing w:after="0" w:line="260" w:lineRule="auto"/>
        <w:tabs>
          <w:tab w:leader="none" w:pos="10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Data Protection; No Breaches</w:t>
      </w:r>
      <w:r>
        <w:rPr>
          <w:rFonts w:ascii="Times New Roman" w:cs="Times New Roman" w:eastAsia="Times New Roman" w:hAnsi="Times New Roman"/>
          <w:sz w:val="20"/>
          <w:szCs w:val="20"/>
          <w:color w:val="auto"/>
        </w:rPr>
        <w:t>. To the best of the Company’s knowledge, the Company’s information technology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equipment, computers, systems, networks, hardware, software, websites, applications, and databases are adequate for, and operate and perform in all material respects as required in connection with, the operation of the business of the Company as currently conducted, free and clear of all material bugs, errors, defects, Trojan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4864" w:hanging="110"/>
        <w:spacing w:after="0"/>
        <w:tabs>
          <w:tab w:leader="none" w:pos="4864"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w:t>
      </w:r>
    </w:p>
    <w:p>
      <w:pPr>
        <w:sectPr>
          <w:pgSz w:w="11900" w:h="16838" w:orient="portrait"/>
          <w:cols w:equalWidth="0" w:num="1">
            <w:col w:w="10584"/>
          </w:cols>
          <w:pgMar w:left="976" w:top="1413" w:right="339" w:bottom="1440" w:gutter="0" w:footer="0" w:header="0"/>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20"/>
          <w:szCs w:val="20"/>
          <w:color w:val="auto"/>
        </w:rPr>
        <w:t>horses, time bombs, malware and other corruptants. The Company has taken commercially reasonable efforts to protect the information technology systems and Data used in connection with the operation of the Company’s business. Without limiting the foregoing, the Company has used reasonable efforts to establish and maintain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business (“</w:t>
      </w:r>
      <w:r>
        <w:rPr>
          <w:rFonts w:ascii="Times New Roman" w:cs="Times New Roman" w:eastAsia="Times New Roman" w:hAnsi="Times New Roman"/>
          <w:sz w:val="20"/>
          <w:szCs w:val="20"/>
          <w:b w:val="1"/>
          <w:bCs w:val="1"/>
          <w:color w:val="auto"/>
        </w:rPr>
        <w:t>Breach</w:t>
      </w:r>
      <w:r>
        <w:rPr>
          <w:rFonts w:ascii="Times New Roman" w:cs="Times New Roman" w:eastAsia="Times New Roman" w:hAnsi="Times New Roman"/>
          <w:sz w:val="20"/>
          <w:szCs w:val="20"/>
          <w:color w:val="auto"/>
        </w:rPr>
        <w:t>”). There has been no such Breach, and the Company has not been notified of and has no knowledge of any event or condition that would reasonably be expected to result in, any such Breach that would, individually or in the aggregate, reasonably be expected to result in a Material Adverse Effect.</w:t>
      </w:r>
    </w:p>
    <w:p>
      <w:pPr>
        <w:spacing w:after="0" w:line="192" w:lineRule="exact"/>
        <w:rPr>
          <w:sz w:val="20"/>
          <w:szCs w:val="20"/>
          <w:color w:val="auto"/>
        </w:rPr>
      </w:pPr>
    </w:p>
    <w:p>
      <w:pPr>
        <w:jc w:val="both"/>
        <w:ind w:firstLine="644"/>
        <w:spacing w:after="0" w:line="260" w:lineRule="auto"/>
        <w:tabs>
          <w:tab w:leader="none" w:pos="110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Undisclosed Relationships</w:t>
      </w:r>
      <w:r>
        <w:rPr>
          <w:rFonts w:ascii="Times New Roman" w:cs="Times New Roman" w:eastAsia="Times New Roman" w:hAnsi="Times New Roman"/>
          <w:sz w:val="20"/>
          <w:szCs w:val="20"/>
          <w:color w:val="auto"/>
        </w:rPr>
        <w:t>. No relationship, direct or indirect, exists between or among the Company or any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64" w:lineRule="exact"/>
        <w:rPr>
          <w:sz w:val="20"/>
          <w:szCs w:val="20"/>
          <w:color w:val="auto"/>
        </w:rPr>
      </w:pPr>
    </w:p>
    <w:p>
      <w:pPr>
        <w:jc w:val="both"/>
        <w:ind w:firstLine="644"/>
        <w:spacing w:after="0" w:line="258" w:lineRule="auto"/>
        <w:tabs>
          <w:tab w:leader="none" w:pos="119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Investment Company Act</w:t>
      </w:r>
      <w:r>
        <w:rPr>
          <w:rFonts w:ascii="Times New Roman" w:cs="Times New Roman" w:eastAsia="Times New Roman" w:hAnsi="Times New Roman"/>
          <w:sz w:val="20"/>
          <w:szCs w:val="20"/>
          <w:color w:val="auto"/>
        </w:rPr>
        <w:t>. The Company is not and, after giving effect to the offering and sale of the Shares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w:t>
      </w:r>
      <w:r>
        <w:rPr>
          <w:rFonts w:ascii="Times New Roman" w:cs="Times New Roman" w:eastAsia="Times New Roman" w:hAnsi="Times New Roman"/>
          <w:sz w:val="20"/>
          <w:szCs w:val="20"/>
          <w:b w:val="1"/>
          <w:bCs w:val="1"/>
          <w:color w:val="auto"/>
        </w:rPr>
        <w:t>Investment Company Act</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firstLine="644"/>
        <w:spacing w:after="0" w:line="252" w:lineRule="auto"/>
        <w:tabs>
          <w:tab w:leader="none" w:pos="117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Taxes. </w:t>
      </w:r>
      <w:r>
        <w:rPr>
          <w:rFonts w:ascii="Times New Roman" w:cs="Times New Roman" w:eastAsia="Times New Roman" w:hAnsi="Times New Roman"/>
          <w:sz w:val="20"/>
          <w:szCs w:val="20"/>
          <w:color w:val="auto"/>
        </w:rPr>
        <w:t>Except for matters that would not, individually or in the aggregate, have or reasonably be expected to result in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7" w:lineRule="exact"/>
        <w:rPr>
          <w:rFonts w:ascii="Times New Roman" w:cs="Times New Roman" w:eastAsia="Times New Roman" w:hAnsi="Times New Roman"/>
          <w:sz w:val="20"/>
          <w:szCs w:val="20"/>
          <w:color w:val="auto"/>
        </w:rPr>
      </w:pPr>
    </w:p>
    <w:p>
      <w:pPr>
        <w:jc w:val="both"/>
        <w:ind w:firstLine="644"/>
        <w:spacing w:after="0" w:line="252" w:lineRule="auto"/>
        <w:tabs>
          <w:tab w:leader="none" w:pos="12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Compliance</w:t>
      </w:r>
      <w:r>
        <w:rPr>
          <w:rFonts w:ascii="Times New Roman" w:cs="Times New Roman" w:eastAsia="Times New Roman" w:hAnsi="Times New Roman"/>
          <w:sz w:val="20"/>
          <w:szCs w:val="20"/>
          <w:color w:val="auto"/>
        </w:rPr>
        <w:t>. Neither the Company nor any subsidiary: (i) is in default under or in violation of (and no event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ind w:left="4860" w:hanging="107"/>
        <w:spacing w:after="0"/>
        <w:tabs>
          <w:tab w:leader="none" w:pos="48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w:t>
      </w:r>
    </w:p>
    <w:p>
      <w:pPr>
        <w:sectPr>
          <w:pgSz w:w="11900" w:h="16838" w:orient="portrait"/>
          <w:cols w:equalWidth="0" w:num="1">
            <w:col w:w="10580"/>
          </w:cols>
          <w:pgMar w:left="980" w:top="1413" w:right="339" w:bottom="1440" w:gutter="0" w:footer="0" w:header="0"/>
        </w:sectPr>
      </w:pPr>
    </w:p>
    <w:bookmarkStart w:id="17" w:name="page18"/>
    <w:bookmarkEnd w:id="17"/>
    <w:p>
      <w:pPr>
        <w:ind w:right="20"/>
        <w:spacing w:after="0" w:line="283" w:lineRule="auto"/>
        <w:rPr>
          <w:sz w:val="20"/>
          <w:szCs w:val="20"/>
          <w:color w:val="auto"/>
        </w:rPr>
      </w:pPr>
      <w:r>
        <w:rPr>
          <w:rFonts w:ascii="Times New Roman" w:cs="Times New Roman" w:eastAsia="Times New Roman" w:hAnsi="Times New Roman"/>
          <w:sz w:val="20"/>
          <w:szCs w:val="20"/>
          <w:color w:val="auto"/>
        </w:rPr>
        <w:t>quality and safety and employment and labor matters, except in each case as would not have or reasonably be expected to result in a Material Adverse Effect.</w:t>
      </w:r>
    </w:p>
    <w:p>
      <w:pPr>
        <w:spacing w:after="0" w:line="142" w:lineRule="exact"/>
        <w:rPr>
          <w:sz w:val="20"/>
          <w:szCs w:val="20"/>
          <w:color w:val="auto"/>
        </w:rPr>
      </w:pPr>
    </w:p>
    <w:p>
      <w:pPr>
        <w:ind w:right="60" w:firstLine="644"/>
        <w:spacing w:after="0" w:line="254" w:lineRule="auto"/>
        <w:tabs>
          <w:tab w:leader="none" w:pos="117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Regulatory Permits</w:t>
      </w:r>
      <w:r>
        <w:rPr>
          <w:rFonts w:ascii="Times New Roman" w:cs="Times New Roman" w:eastAsia="Times New Roman" w:hAnsi="Times New Roman"/>
          <w:sz w:val="20"/>
          <w:szCs w:val="20"/>
          <w:color w:val="auto"/>
        </w:rPr>
        <w:t>. The Company and the subsidiaries possess all certificates, authorizations and permits issued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appropriate federal, state, local or foreign regulatory authorities necessary to conduct their respective businesses as described in the SEC Reports, including, but not limited to, all certificates, licenses, consents, exemptions, ratings, approvals and other authorizations and permissions as required by the Federal Aviation Administration of the U.S. Department of Transportation and the Transportation Security Administration of the U.S. Department of Homeland Security, except where the failure to possess such permits would not reasonably be expected to result in a Material Adverse Effect (“</w:t>
      </w:r>
      <w:r>
        <w:rPr>
          <w:rFonts w:ascii="Times New Roman" w:cs="Times New Roman" w:eastAsia="Times New Roman" w:hAnsi="Times New Roman"/>
          <w:sz w:val="20"/>
          <w:szCs w:val="20"/>
          <w:b w:val="1"/>
          <w:bCs w:val="1"/>
          <w:color w:val="auto"/>
        </w:rPr>
        <w:t>Material Permits</w:t>
      </w:r>
      <w:r>
        <w:rPr>
          <w:rFonts w:ascii="Times New Roman" w:cs="Times New Roman" w:eastAsia="Times New Roman" w:hAnsi="Times New Roman"/>
          <w:sz w:val="20"/>
          <w:szCs w:val="20"/>
          <w:color w:val="auto"/>
        </w:rPr>
        <w:t>”), and neither the Company nor any subsidiary has received any notice of proceedings relating to the revocation or modification of any Material Permit.</w:t>
      </w:r>
    </w:p>
    <w:p>
      <w:pPr>
        <w:spacing w:after="0" w:line="172" w:lineRule="exact"/>
        <w:rPr>
          <w:rFonts w:ascii="Times New Roman" w:cs="Times New Roman" w:eastAsia="Times New Roman" w:hAnsi="Times New Roman"/>
          <w:sz w:val="20"/>
          <w:szCs w:val="20"/>
          <w:color w:val="auto"/>
        </w:rPr>
      </w:pPr>
    </w:p>
    <w:p>
      <w:pPr>
        <w:jc w:val="both"/>
        <w:ind w:firstLine="644"/>
        <w:spacing w:after="0" w:line="251" w:lineRule="auto"/>
        <w:tabs>
          <w:tab w:leader="none" w:pos="116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Environmental Laws</w:t>
      </w:r>
      <w:r>
        <w:rPr>
          <w:rFonts w:ascii="Times New Roman" w:cs="Times New Roman" w:eastAsia="Times New Roman" w:hAnsi="Times New Roman"/>
          <w:sz w:val="20"/>
          <w:szCs w:val="20"/>
          <w:color w:val="auto"/>
        </w:rPr>
        <w:t>. The Company and its subsidiaries (i) are in compliance with all applicable federal, state, local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9" w:lineRule="exact"/>
        <w:rPr>
          <w:rFonts w:ascii="Times New Roman" w:cs="Times New Roman" w:eastAsia="Times New Roman" w:hAnsi="Times New Roman"/>
          <w:sz w:val="20"/>
          <w:szCs w:val="20"/>
          <w:color w:val="auto"/>
        </w:rPr>
      </w:pPr>
    </w:p>
    <w:p>
      <w:pPr>
        <w:jc w:val="both"/>
        <w:ind w:firstLine="644"/>
        <w:spacing w:after="0" w:line="250" w:lineRule="auto"/>
        <w:tabs>
          <w:tab w:leader="none" w:pos="114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Labor Disputes. </w:t>
      </w:r>
      <w:r>
        <w:rPr>
          <w:rFonts w:ascii="Times New Roman" w:cs="Times New Roman" w:eastAsia="Times New Roman" w:hAnsi="Times New Roman"/>
          <w:sz w:val="20"/>
          <w:szCs w:val="20"/>
          <w:color w:val="auto"/>
        </w:rPr>
        <w:t>No labor dispute exists or, to the knowledge of the Company, is imminent with respect to any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4860" w:hanging="110"/>
        <w:spacing w:after="0"/>
        <w:tabs>
          <w:tab w:leader="none" w:pos="486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w:t>
      </w:r>
    </w:p>
    <w:p>
      <w:pPr>
        <w:sectPr>
          <w:pgSz w:w="11900" w:h="16838" w:orient="portrait"/>
          <w:cols w:equalWidth="0" w:num="1">
            <w:col w:w="10580"/>
          </w:cols>
          <w:pgMar w:left="980" w:top="1413" w:right="339" w:bottom="1440" w:gutter="0" w:footer="0" w:header="0"/>
        </w:sectPr>
      </w:pPr>
    </w:p>
    <w:bookmarkStart w:id="18" w:name="page19"/>
    <w:bookmarkEnd w:id="18"/>
    <w:p>
      <w:pPr>
        <w:jc w:val="both"/>
        <w:ind w:left="4" w:firstLine="644"/>
        <w:spacing w:after="0" w:line="266" w:lineRule="auto"/>
        <w:tabs>
          <w:tab w:leader="none" w:pos="1314"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Compliance with ERISA</w:t>
      </w:r>
      <w:r>
        <w:rPr>
          <w:rFonts w:ascii="Times New Roman" w:cs="Times New Roman" w:eastAsia="Times New Roman" w:hAnsi="Times New Roman"/>
          <w:sz w:val="19"/>
          <w:szCs w:val="19"/>
          <w:color w:val="auto"/>
        </w:rPr>
        <w:t>. (i) Each employee benefit plan, within the meaning of Section 3(3) of the Employee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Retirement Income Security Act of 1974, as amended (“</w:t>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w:t>
      </w:r>
    </w:p>
    <w:p>
      <w:pPr>
        <w:spacing w:after="0" w:line="2" w:lineRule="exact"/>
        <w:rPr>
          <w:rFonts w:ascii="Times New Roman" w:cs="Times New Roman" w:eastAsia="Times New Roman" w:hAnsi="Times New Roman"/>
          <w:sz w:val="19"/>
          <w:szCs w:val="19"/>
          <w:color w:val="auto"/>
        </w:rPr>
      </w:pPr>
    </w:p>
    <w:p>
      <w:pPr>
        <w:ind w:left="384" w:hanging="384"/>
        <w:spacing w:after="0"/>
        <w:tabs>
          <w:tab w:leader="none" w:pos="38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(o) of the Code) would have any liability (each, a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has been maintained in compliance with its terms and the</w:t>
      </w:r>
    </w:p>
    <w:p>
      <w:pPr>
        <w:spacing w:after="0" w:line="6" w:lineRule="exact"/>
        <w:rPr>
          <w:sz w:val="20"/>
          <w:szCs w:val="20"/>
          <w:color w:val="auto"/>
        </w:rPr>
      </w:pPr>
    </w:p>
    <w:p>
      <w:pPr>
        <w:jc w:val="both"/>
        <w:ind w:left="4"/>
        <w:spacing w:after="0" w:line="260" w:lineRule="auto"/>
        <w:rPr>
          <w:sz w:val="20"/>
          <w:szCs w:val="20"/>
          <w:color w:val="auto"/>
        </w:rPr>
      </w:pPr>
      <w:r>
        <w:rPr>
          <w:rFonts w:ascii="Times New Roman" w:cs="Times New Roman" w:eastAsia="Times New Roman" w:hAnsi="Times New Roman"/>
          <w:sz w:val="19"/>
          <w:szCs w:val="19"/>
          <w:color w:val="auto"/>
        </w:rPr>
        <w:t>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(vi) each Plan that is intended to be qualified under Section 401(a) of the Code is so qualified, and nothing has occurred, whether by action or by failure to act, which would cause the loss of such qualification; (vii)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(viii)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w:t>
      </w:r>
    </w:p>
    <w:p>
      <w:pPr>
        <w:spacing w:after="0" w:line="13" w:lineRule="exact"/>
        <w:rPr>
          <w:sz w:val="20"/>
          <w:szCs w:val="20"/>
          <w:color w:val="auto"/>
        </w:rPr>
      </w:pPr>
    </w:p>
    <w:p>
      <w:pPr>
        <w:jc w:val="both"/>
        <w:ind w:left="4" w:hanging="4"/>
        <w:spacing w:after="0" w:line="253" w:lineRule="auto"/>
        <w:tabs>
          <w:tab w:leader="none" w:pos="32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(viii) hereof, as would not, individually or in the aggregate, have a Material Adverse Effect.</w:t>
      </w:r>
    </w:p>
    <w:p>
      <w:pPr>
        <w:spacing w:after="0" w:line="171" w:lineRule="exact"/>
        <w:rPr>
          <w:rFonts w:ascii="Times New Roman" w:cs="Times New Roman" w:eastAsia="Times New Roman" w:hAnsi="Times New Roman"/>
          <w:sz w:val="20"/>
          <w:szCs w:val="20"/>
          <w:color w:val="auto"/>
        </w:rPr>
      </w:pPr>
    </w:p>
    <w:p>
      <w:pPr>
        <w:jc w:val="both"/>
        <w:ind w:left="4" w:firstLine="644"/>
        <w:spacing w:after="0" w:line="252" w:lineRule="auto"/>
        <w:tabs>
          <w:tab w:leader="none" w:pos="124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Sarbanes-Oxley; Internal Accounting Controls</w:t>
      </w:r>
      <w:r>
        <w:rPr>
          <w:rFonts w:ascii="Times New Roman" w:cs="Times New Roman" w:eastAsia="Times New Roman" w:hAnsi="Times New Roman"/>
          <w:sz w:val="20"/>
          <w:szCs w:val="20"/>
          <w:color w:val="auto"/>
        </w:rPr>
        <w:t>. The Company and the subsidiaries are in material compliance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7" w:lineRule="exact"/>
        <w:rPr>
          <w:rFonts w:ascii="Times New Roman" w:cs="Times New Roman" w:eastAsia="Times New Roman" w:hAnsi="Times New Roman"/>
          <w:sz w:val="20"/>
          <w:szCs w:val="20"/>
          <w:color w:val="auto"/>
        </w:rPr>
      </w:pPr>
    </w:p>
    <w:p>
      <w:pPr>
        <w:ind w:left="4864" w:hanging="110"/>
        <w:spacing w:after="0"/>
        <w:tabs>
          <w:tab w:leader="none" w:pos="4864"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w:t>
      </w:r>
    </w:p>
    <w:p>
      <w:pPr>
        <w:sectPr>
          <w:pgSz w:w="11900" w:h="16838" w:orient="portrait"/>
          <w:cols w:equalWidth="0" w:num="1">
            <w:col w:w="10584"/>
          </w:cols>
          <w:pgMar w:left="976" w:top="1409" w:right="339" w:bottom="1440" w:gutter="0" w:footer="0" w:header="0"/>
        </w:sectPr>
      </w:pPr>
    </w:p>
    <w:bookmarkStart w:id="19" w:name="page20"/>
    <w:bookmarkEnd w:id="19"/>
    <w:p>
      <w:pPr>
        <w:jc w:val="both"/>
        <w:spacing w:after="0" w:line="250" w:lineRule="auto"/>
        <w:rPr>
          <w:sz w:val="20"/>
          <w:szCs w:val="20"/>
          <w:color w:val="auto"/>
        </w:rPr>
      </w:pPr>
      <w:r>
        <w:rPr>
          <w:rFonts w:ascii="Times New Roman" w:cs="Times New Roman" w:eastAsia="Times New Roman" w:hAnsi="Times New Roman"/>
          <w:sz w:val="20"/>
          <w:szCs w:val="20"/>
          <w:color w:val="auto"/>
        </w:rPr>
        <w:t>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20"/>
          <w:szCs w:val="20"/>
          <w:b w:val="1"/>
          <w:bCs w:val="1"/>
          <w:color w:val="auto"/>
        </w:rPr>
        <w:t>Evaluation Date</w:t>
      </w:r>
      <w:r>
        <w:rPr>
          <w:rFonts w:ascii="Times New Roman" w:cs="Times New Roman" w:eastAsia="Times New Roman" w:hAnsi="Times New Roman"/>
          <w:sz w:val="20"/>
          <w:szCs w:val="20"/>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2" w:lineRule="exact"/>
        <w:rPr>
          <w:sz w:val="20"/>
          <w:szCs w:val="20"/>
          <w:color w:val="auto"/>
        </w:rPr>
      </w:pPr>
    </w:p>
    <w:p>
      <w:pPr>
        <w:jc w:val="both"/>
        <w:ind w:firstLine="644"/>
        <w:spacing w:after="0" w:line="271" w:lineRule="auto"/>
        <w:tabs>
          <w:tab w:leader="none" w:pos="1087"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Insurance. </w:t>
      </w:r>
      <w:r>
        <w:rPr>
          <w:rFonts w:ascii="Times New Roman" w:cs="Times New Roman" w:eastAsia="Times New Roman" w:hAnsi="Times New Roman"/>
          <w:sz w:val="19"/>
          <w:szCs w:val="19"/>
          <w:color w:val="auto"/>
        </w:rPr>
        <w:t>The Company and the subsidiaries are insured by insurers of recognized financial responsibility against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70" w:lineRule="exact"/>
        <w:rPr>
          <w:rFonts w:ascii="Times New Roman" w:cs="Times New Roman" w:eastAsia="Times New Roman" w:hAnsi="Times New Roman"/>
          <w:sz w:val="19"/>
          <w:szCs w:val="19"/>
          <w:color w:val="auto"/>
        </w:rPr>
      </w:pPr>
    </w:p>
    <w:p>
      <w:pPr>
        <w:jc w:val="both"/>
        <w:ind w:firstLine="644"/>
        <w:spacing w:after="0" w:line="250" w:lineRule="auto"/>
        <w:tabs>
          <w:tab w:leader="none" w:pos="114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Unlawful Payments. </w:t>
      </w:r>
      <w:r>
        <w:rPr>
          <w:rFonts w:ascii="Times New Roman" w:cs="Times New Roman" w:eastAsia="Times New Roman" w:hAnsi="Times New Roman"/>
          <w:sz w:val="20"/>
          <w:szCs w:val="20"/>
          <w:color w:val="auto"/>
        </w:rPr>
        <w:t>Neither the Company nor any of its subsidiaries nor any director, officer or employee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maintained and enforced, and will continue to maintain and enforce policies and procedures designed to promote and ensure compliance with all applicable anti-bribery and anti-corruption laws.</w:t>
      </w:r>
    </w:p>
    <w:p>
      <w:pPr>
        <w:spacing w:after="0" w:line="183" w:lineRule="exact"/>
        <w:rPr>
          <w:rFonts w:ascii="Times New Roman" w:cs="Times New Roman" w:eastAsia="Times New Roman" w:hAnsi="Times New Roman"/>
          <w:sz w:val="20"/>
          <w:szCs w:val="20"/>
          <w:color w:val="auto"/>
        </w:rPr>
      </w:pPr>
    </w:p>
    <w:p>
      <w:pPr>
        <w:jc w:val="both"/>
        <w:ind w:firstLine="644"/>
        <w:spacing w:after="0" w:line="258" w:lineRule="auto"/>
        <w:tabs>
          <w:tab w:leader="none" w:pos="121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Money Laundering</w:t>
      </w:r>
      <w:r>
        <w:rPr>
          <w:rFonts w:ascii="Times New Roman" w:cs="Times New Roman" w:eastAsia="Times New Roman" w:hAnsi="Times New Roman"/>
          <w:sz w:val="20"/>
          <w:szCs w:val="20"/>
          <w:color w:val="auto"/>
        </w:rPr>
        <w:t>. The operations of the Company and its subsidiaries are and have been conducted at all times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20"/>
          <w:szCs w:val="20"/>
          <w:b w:val="1"/>
          <w:bCs w:val="1"/>
          <w:color w:val="auto"/>
        </w:rPr>
        <w:t>Money Laundering Laws</w:t>
      </w:r>
      <w:r>
        <w:rPr>
          <w:rFonts w:ascii="Times New Roman" w:cs="Times New Roman" w:eastAsia="Times New Roman" w:hAnsi="Times New Roman"/>
          <w:sz w:val="20"/>
          <w:szCs w:val="20"/>
          <w:color w:val="auto"/>
        </w:rPr>
        <w:t>”), and no Action or proceeding by or before any court or governmental agency, authority or body or any arbitrator involving the Company or any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8" w:lineRule="exact"/>
        <w:rPr>
          <w:rFonts w:ascii="Times New Roman" w:cs="Times New Roman" w:eastAsia="Times New Roman" w:hAnsi="Times New Roman"/>
          <w:sz w:val="20"/>
          <w:szCs w:val="20"/>
          <w:color w:val="auto"/>
        </w:rPr>
      </w:pPr>
    </w:p>
    <w:p>
      <w:pPr>
        <w:ind w:left="4860" w:hanging="110"/>
        <w:spacing w:after="0"/>
        <w:tabs>
          <w:tab w:leader="none" w:pos="486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14 -</w:t>
      </w:r>
    </w:p>
    <w:p>
      <w:pPr>
        <w:sectPr>
          <w:pgSz w:w="11900" w:h="16838" w:orient="portrait"/>
          <w:cols w:equalWidth="0" w:num="1">
            <w:col w:w="10580"/>
          </w:cols>
          <w:pgMar w:left="980" w:top="1413" w:right="339" w:bottom="1440" w:gutter="0" w:footer="0" w:header="0"/>
        </w:sectPr>
      </w:pPr>
    </w:p>
    <w:bookmarkStart w:id="20" w:name="page21"/>
    <w:bookmarkEnd w:id="20"/>
    <w:p>
      <w:pPr>
        <w:spacing w:after="0" w:line="283" w:lineRule="auto"/>
        <w:rPr>
          <w:sz w:val="20"/>
          <w:szCs w:val="20"/>
          <w:color w:val="auto"/>
        </w:rPr>
      </w:pPr>
      <w:r>
        <w:rPr>
          <w:rFonts w:ascii="Times New Roman" w:cs="Times New Roman" w:eastAsia="Times New Roman" w:hAnsi="Times New Roman"/>
          <w:sz w:val="20"/>
          <w:szCs w:val="20"/>
          <w:color w:val="auto"/>
        </w:rPr>
        <w:t>subsidiary with respect to the Money Laundering Laws is pending or, to the knowledge of the Company or any subsidiary, threatened.</w:t>
      </w:r>
    </w:p>
    <w:p>
      <w:pPr>
        <w:spacing w:after="0" w:line="142" w:lineRule="exact"/>
        <w:rPr>
          <w:sz w:val="20"/>
          <w:szCs w:val="20"/>
          <w:color w:val="auto"/>
        </w:rPr>
      </w:pPr>
    </w:p>
    <w:p>
      <w:pPr>
        <w:jc w:val="both"/>
        <w:ind w:firstLine="644"/>
        <w:spacing w:after="0" w:line="254" w:lineRule="auto"/>
        <w:tabs>
          <w:tab w:leader="none" w:pos="118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Office of Foreign Assets Control</w:t>
      </w:r>
      <w:r>
        <w:rPr>
          <w:rFonts w:ascii="Times New Roman" w:cs="Times New Roman" w:eastAsia="Times New Roman" w:hAnsi="Times New Roman"/>
          <w:sz w:val="20"/>
          <w:szCs w:val="20"/>
          <w:color w:val="auto"/>
        </w:rPr>
        <w:t>. Neither the Company nor any subsidiary nor, to the Company's knowledge,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 officer, agent, employee or affiliate of the Company or any subsidiary is currently subject to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or the U.S. Department of State and including, without limitation, the designation as a “specially designated national” or “blocked person”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Since April 24, 2019, the Company nor any of its subsidiaries have knowingly engaged in or are now knowingly engaged in any dealings or transactions with any person that at the time of the dealing or transaction is or was the subject or the target of Sanctions or with any Sanctioned Country.</w:t>
      </w:r>
    </w:p>
    <w:p>
      <w:pPr>
        <w:spacing w:after="0" w:line="172" w:lineRule="exact"/>
        <w:rPr>
          <w:rFonts w:ascii="Times New Roman" w:cs="Times New Roman" w:eastAsia="Times New Roman" w:hAnsi="Times New Roman"/>
          <w:sz w:val="20"/>
          <w:szCs w:val="20"/>
          <w:color w:val="auto"/>
        </w:rPr>
      </w:pPr>
    </w:p>
    <w:p>
      <w:pPr>
        <w:ind w:right="80" w:firstLine="644"/>
        <w:spacing w:after="0" w:line="269" w:lineRule="auto"/>
        <w:tabs>
          <w:tab w:leader="none" w:pos="1285"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Uyghur Forced Labor Prevention Act. </w:t>
      </w:r>
      <w:r>
        <w:rPr>
          <w:rFonts w:ascii="Times New Roman" w:cs="Times New Roman" w:eastAsia="Times New Roman" w:hAnsi="Times New Roman"/>
          <w:sz w:val="19"/>
          <w:szCs w:val="19"/>
          <w:color w:val="auto"/>
        </w:rPr>
        <w:t>To the Company’s knowledge, the operations of neither the Company nor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its subsidiaries involve the sale or import into the United States of any goods, wares, articles, or merchandise mined, produced, or manufactured wholly or in part in the Xinjiang Uyghur Autonomous Region of the People’s Republic of China, or produced by an entity on the Department of Homeland Security’s UFLPA Entity List. In the past five (5) years, none of the goods the Company or any of its subsidiaries have sold or imported into the United States have been seized by Customs and Border Patrol as being contrary to Section 307 of the Tariff Act of 1930 due to the use of forced labor in China in the production of such goods, and neither the Company nor its subsidiaries have been the subject of any fines, penalties, enforcement actions, litigation, or other liability in relation to the use of forced labor or alleged forced labor in the supply chain of the products it sells or imports into the United States.</w:t>
      </w:r>
    </w:p>
    <w:p>
      <w:pPr>
        <w:spacing w:after="0" w:line="160" w:lineRule="exact"/>
        <w:rPr>
          <w:rFonts w:ascii="Times New Roman" w:cs="Times New Roman" w:eastAsia="Times New Roman" w:hAnsi="Times New Roman"/>
          <w:sz w:val="19"/>
          <w:szCs w:val="19"/>
          <w:color w:val="auto"/>
        </w:rPr>
      </w:pPr>
    </w:p>
    <w:p>
      <w:pPr>
        <w:ind w:right="720" w:firstLine="644"/>
        <w:spacing w:after="0" w:line="260" w:lineRule="auto"/>
        <w:tabs>
          <w:tab w:leader="none" w:pos="117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Broker’s Fees. </w:t>
      </w:r>
      <w:r>
        <w:rPr>
          <w:rFonts w:ascii="Times New Roman" w:cs="Times New Roman" w:eastAsia="Times New Roman" w:hAnsi="Times New Roman"/>
          <w:sz w:val="20"/>
          <w:szCs w:val="20"/>
          <w:color w:val="auto"/>
        </w:rPr>
        <w:t>Neither the Company nor any of its subsidiaries is a party to any contract, agreement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understanding with any person (other than this Agreement) that would give rise to a valid claim against any of them or the Underwriters for a brokerage commission, finder’s fee or like payment in connection with the offering and sale of the Shares hereunder.</w:t>
      </w:r>
    </w:p>
    <w:p>
      <w:pPr>
        <w:spacing w:after="0" w:line="164" w:lineRule="exact"/>
        <w:rPr>
          <w:rFonts w:ascii="Times New Roman" w:cs="Times New Roman" w:eastAsia="Times New Roman" w:hAnsi="Times New Roman"/>
          <w:sz w:val="20"/>
          <w:szCs w:val="20"/>
          <w:color w:val="auto"/>
        </w:rPr>
      </w:pPr>
    </w:p>
    <w:p>
      <w:pPr>
        <w:ind w:firstLine="644"/>
        <w:spacing w:after="0" w:line="287" w:lineRule="auto"/>
        <w:tabs>
          <w:tab w:leader="none" w:pos="124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Registration Rights</w:t>
      </w:r>
      <w:r>
        <w:rPr>
          <w:rFonts w:ascii="Times New Roman" w:cs="Times New Roman" w:eastAsia="Times New Roman" w:hAnsi="Times New Roman"/>
          <w:sz w:val="20"/>
          <w:szCs w:val="20"/>
          <w:color w:val="auto"/>
        </w:rPr>
        <w:t>. No Person has any right to cause the Company or any subsidiary to effect the registration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 the Securities Act of any securities of the Company or any subsidiary.</w:t>
      </w:r>
    </w:p>
    <w:p>
      <w:pPr>
        <w:spacing w:after="0" w:line="151" w:lineRule="exact"/>
        <w:rPr>
          <w:rFonts w:ascii="Times New Roman" w:cs="Times New Roman" w:eastAsia="Times New Roman" w:hAnsi="Times New Roman"/>
          <w:sz w:val="20"/>
          <w:szCs w:val="20"/>
          <w:color w:val="auto"/>
        </w:rPr>
      </w:pPr>
    </w:p>
    <w:p>
      <w:pPr>
        <w:jc w:val="both"/>
        <w:ind w:right="20" w:firstLine="644"/>
        <w:spacing w:after="0" w:line="263" w:lineRule="auto"/>
        <w:tabs>
          <w:tab w:leader="none" w:pos="124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Stabilization. </w:t>
      </w:r>
      <w:r>
        <w:rPr>
          <w:rFonts w:ascii="Times New Roman" w:cs="Times New Roman" w:eastAsia="Times New Roman" w:hAnsi="Times New Roman"/>
          <w:sz w:val="20"/>
          <w:szCs w:val="20"/>
          <w:color w:val="auto"/>
        </w:rPr>
        <w:t>Neither the Company nor any of its subsidiaries or affiliates has taken, directly or indirectly,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action designed to or that could reasonably be expected to cause or result in any stabilization or manipulation of the price of the Shares.</w:t>
      </w:r>
    </w:p>
    <w:p>
      <w:pPr>
        <w:spacing w:after="0" w:line="161" w:lineRule="exact"/>
        <w:rPr>
          <w:rFonts w:ascii="Times New Roman" w:cs="Times New Roman" w:eastAsia="Times New Roman" w:hAnsi="Times New Roman"/>
          <w:sz w:val="20"/>
          <w:szCs w:val="20"/>
          <w:color w:val="auto"/>
        </w:rPr>
      </w:pPr>
    </w:p>
    <w:p>
      <w:pPr>
        <w:jc w:val="both"/>
        <w:ind w:firstLine="644"/>
        <w:spacing w:after="0" w:line="270" w:lineRule="auto"/>
        <w:tabs>
          <w:tab w:leader="none" w:pos="120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Margin Rules</w:t>
      </w:r>
      <w:r>
        <w:rPr>
          <w:rFonts w:ascii="Times New Roman" w:cs="Times New Roman" w:eastAsia="Times New Roman" w:hAnsi="Times New Roman"/>
          <w:sz w:val="20"/>
          <w:szCs w:val="20"/>
          <w:color w:val="auto"/>
        </w:rPr>
        <w:t>. Neither the issuance, sale and delivery of the Shares nor the application of the proceeds thereof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as described in each of the Registration Statement, the Pricing Disclosure Package and the Prospectus will violate Regulation T, U or X of the Board of Governors of the Federal Reserve System or any other regulation of such Board of Governors.</w:t>
      </w:r>
    </w:p>
    <w:p>
      <w:pPr>
        <w:spacing w:after="0" w:line="155" w:lineRule="exact"/>
        <w:rPr>
          <w:rFonts w:ascii="Times New Roman" w:cs="Times New Roman" w:eastAsia="Times New Roman" w:hAnsi="Times New Roman"/>
          <w:sz w:val="20"/>
          <w:szCs w:val="20"/>
          <w:color w:val="auto"/>
        </w:rPr>
      </w:pPr>
    </w:p>
    <w:p>
      <w:pPr>
        <w:jc w:val="both"/>
        <w:ind w:firstLine="644"/>
        <w:spacing w:after="0" w:line="263" w:lineRule="auto"/>
        <w:tabs>
          <w:tab w:leader="none" w:pos="112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Forward-Looking Statements. </w:t>
      </w:r>
      <w:r>
        <w:rPr>
          <w:rFonts w:ascii="Times New Roman" w:cs="Times New Roman" w:eastAsia="Times New Roman" w:hAnsi="Times New Roman"/>
          <w:sz w:val="20"/>
          <w:szCs w:val="20"/>
          <w:color w:val="auto"/>
        </w:rPr>
        <w:t>No forward-looking statement (within the meaning of Section 27A of the Securities 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Section 21E of the Exchange Act) included or incorporated by reference in any of the Registration Statement, the Pricing Disclosure Package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2" w:lineRule="exact"/>
        <w:rPr>
          <w:rFonts w:ascii="Times New Roman" w:cs="Times New Roman" w:eastAsia="Times New Roman" w:hAnsi="Times New Roman"/>
          <w:sz w:val="20"/>
          <w:szCs w:val="20"/>
          <w:color w:val="auto"/>
        </w:rPr>
      </w:pPr>
    </w:p>
    <w:p>
      <w:pPr>
        <w:ind w:left="4860" w:hanging="110"/>
        <w:spacing w:after="0"/>
        <w:tabs>
          <w:tab w:leader="none" w:pos="486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w:t>
      </w:r>
    </w:p>
    <w:p>
      <w:pPr>
        <w:sectPr>
          <w:pgSz w:w="11900" w:h="16838" w:orient="portrait"/>
          <w:cols w:equalWidth="0" w:num="1">
            <w:col w:w="10580"/>
          </w:cols>
          <w:pgMar w:left="980" w:top="14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the Prospectus has been made or reaffirmed without a reasonable basis or has been disclosed other than in good faith.</w:t>
      </w:r>
    </w:p>
    <w:p>
      <w:pPr>
        <w:spacing w:after="0" w:line="225" w:lineRule="exact"/>
        <w:rPr>
          <w:sz w:val="20"/>
          <w:szCs w:val="20"/>
          <w:color w:val="auto"/>
        </w:rPr>
      </w:pPr>
    </w:p>
    <w:p>
      <w:pPr>
        <w:jc w:val="both"/>
        <w:ind w:firstLine="644"/>
        <w:spacing w:after="0" w:line="255" w:lineRule="auto"/>
        <w:tabs>
          <w:tab w:leader="none" w:pos="122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Statistical and Market Data. </w:t>
      </w:r>
      <w:r>
        <w:rPr>
          <w:rFonts w:ascii="Times New Roman" w:cs="Times New Roman" w:eastAsia="Times New Roman" w:hAnsi="Times New Roman"/>
          <w:sz w:val="20"/>
          <w:szCs w:val="20"/>
          <w:color w:val="auto"/>
        </w:rPr>
        <w:t>Nothing has come to the attention of the Company that has caused the Company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believe that the statistical and market-related data included or incorporated by reference in each of the Registration Statement, the Pricing Disclosure Package and the Prospectus is not based on or derived from sources that are reliable and accurate in all material respects.</w:t>
      </w:r>
    </w:p>
    <w:p>
      <w:pPr>
        <w:spacing w:after="0" w:line="183" w:lineRule="exact"/>
        <w:rPr>
          <w:rFonts w:ascii="Times New Roman" w:cs="Times New Roman" w:eastAsia="Times New Roman" w:hAnsi="Times New Roman"/>
          <w:sz w:val="20"/>
          <w:szCs w:val="20"/>
          <w:color w:val="auto"/>
        </w:rPr>
      </w:pPr>
    </w:p>
    <w:p>
      <w:pPr>
        <w:jc w:val="both"/>
        <w:ind w:firstLine="644"/>
        <w:spacing w:after="0" w:line="260" w:lineRule="auto"/>
        <w:tabs>
          <w:tab w:leader="none" w:pos="110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Sarbanes-Oxley Act</w:t>
      </w:r>
      <w:r>
        <w:rPr>
          <w:rFonts w:ascii="Times New Roman" w:cs="Times New Roman" w:eastAsia="Times New Roman" w:hAnsi="Times New Roman"/>
          <w:sz w:val="20"/>
          <w:szCs w:val="20"/>
          <w:color w:val="auto"/>
        </w:rPr>
        <w:t>. There is and has been no failure on the part of the Company or any of the Company’s directors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in their capacities as such, to comply with any applicable provision of the Sarbanes-Oxley Act of 2002, as amended and the rules and regulations promulgated in connection therewith (the “</w:t>
      </w:r>
      <w:r>
        <w:rPr>
          <w:rFonts w:ascii="Times New Roman" w:cs="Times New Roman" w:eastAsia="Times New Roman" w:hAnsi="Times New Roman"/>
          <w:sz w:val="20"/>
          <w:szCs w:val="20"/>
          <w:b w:val="1"/>
          <w:bCs w:val="1"/>
          <w:color w:val="auto"/>
        </w:rPr>
        <w:t>Sarbanes-Oxley Act</w:t>
      </w:r>
      <w:r>
        <w:rPr>
          <w:rFonts w:ascii="Times New Roman" w:cs="Times New Roman" w:eastAsia="Times New Roman" w:hAnsi="Times New Roman"/>
          <w:sz w:val="20"/>
          <w:szCs w:val="20"/>
          <w:color w:val="auto"/>
        </w:rPr>
        <w:t>”), including Section 402 related to loans and Sections 302 and 906 related to certifications.</w:t>
      </w:r>
    </w:p>
    <w:p>
      <w:pPr>
        <w:spacing w:after="0" w:line="164" w:lineRule="exact"/>
        <w:rPr>
          <w:rFonts w:ascii="Times New Roman" w:cs="Times New Roman" w:eastAsia="Times New Roman" w:hAnsi="Times New Roman"/>
          <w:sz w:val="20"/>
          <w:szCs w:val="20"/>
          <w:color w:val="auto"/>
        </w:rPr>
      </w:pPr>
    </w:p>
    <w:p>
      <w:pPr>
        <w:jc w:val="both"/>
        <w:ind w:firstLine="644"/>
        <w:spacing w:after="0" w:line="260" w:lineRule="auto"/>
        <w:tabs>
          <w:tab w:leader="none" w:pos="124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Status under the Securities Act</w:t>
      </w:r>
      <w:r>
        <w:rPr>
          <w:rFonts w:ascii="Times New Roman" w:cs="Times New Roman" w:eastAsia="Times New Roman" w:hAnsi="Times New Roman"/>
          <w:sz w:val="20"/>
          <w:szCs w:val="20"/>
          <w:color w:val="auto"/>
        </w:rPr>
        <w:t>. At the time of filing the Registration Statement and any post-effective amendment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thereto, at the earliest time thereafter that the Company or any offering participant made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offer (within the meaning of Rule 164(h)(2) under the Securities Act) of the Shares and at the date hereof, the Company was not and is not an “ineligible issuer,” as defined in Rules 164, 405 and 433 under the Securities Act.</w:t>
      </w:r>
    </w:p>
    <w:p>
      <w:pPr>
        <w:spacing w:after="0" w:line="177" w:lineRule="exact"/>
        <w:rPr>
          <w:rFonts w:ascii="Times New Roman" w:cs="Times New Roman" w:eastAsia="Times New Roman" w:hAnsi="Times New Roman"/>
          <w:sz w:val="20"/>
          <w:szCs w:val="20"/>
          <w:color w:val="auto"/>
        </w:rPr>
      </w:pPr>
    </w:p>
    <w:p>
      <w:pPr>
        <w:jc w:val="both"/>
        <w:ind w:firstLine="644"/>
        <w:spacing w:after="0" w:line="263" w:lineRule="auto"/>
        <w:tabs>
          <w:tab w:leader="none" w:pos="121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Passive Foreign Investment Company</w:t>
      </w:r>
      <w:r>
        <w:rPr>
          <w:rFonts w:ascii="Times New Roman" w:cs="Times New Roman" w:eastAsia="Times New Roman" w:hAnsi="Times New Roman"/>
          <w:sz w:val="20"/>
          <w:szCs w:val="20"/>
          <w:color w:val="auto"/>
        </w:rPr>
        <w:t>. The Company was not a “passive foreign investment company” (“</w:t>
      </w:r>
      <w:r>
        <w:rPr>
          <w:rFonts w:ascii="Times New Roman" w:cs="Times New Roman" w:eastAsia="Times New Roman" w:hAnsi="Times New Roman"/>
          <w:sz w:val="20"/>
          <w:szCs w:val="20"/>
          <w:b w:val="1"/>
          <w:bCs w:val="1"/>
          <w:color w:val="auto"/>
        </w:rPr>
        <w:t>PFIC</w:t>
      </w:r>
      <w:r>
        <w:rPr>
          <w:rFonts w:ascii="Times New Roman" w:cs="Times New Roman" w:eastAsia="Times New Roman" w:hAnsi="Times New Roman"/>
          <w:sz w:val="20"/>
          <w:szCs w:val="20"/>
          <w:color w:val="auto"/>
        </w:rPr>
        <w:t>”)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in Section 1297 of the Code for its most recently completed taxable year and the Company does not expect to be a PFIC for the foreseeable future.</w:t>
      </w:r>
    </w:p>
    <w:p>
      <w:pPr>
        <w:spacing w:after="0" w:line="175" w:lineRule="exact"/>
        <w:rPr>
          <w:rFonts w:ascii="Times New Roman" w:cs="Times New Roman" w:eastAsia="Times New Roman" w:hAnsi="Times New Roman"/>
          <w:sz w:val="20"/>
          <w:szCs w:val="20"/>
          <w:color w:val="auto"/>
        </w:rPr>
      </w:pPr>
    </w:p>
    <w:p>
      <w:pPr>
        <w:jc w:val="both"/>
        <w:ind w:firstLine="644"/>
        <w:spacing w:after="0" w:line="254" w:lineRule="auto"/>
        <w:tabs>
          <w:tab w:leader="none" w:pos="138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FINRA Matters</w:t>
      </w:r>
      <w:r>
        <w:rPr>
          <w:rFonts w:ascii="Times New Roman" w:cs="Times New Roman" w:eastAsia="Times New Roman" w:hAnsi="Times New Roman"/>
          <w:sz w:val="20"/>
          <w:szCs w:val="20"/>
          <w:color w:val="auto"/>
        </w:rPr>
        <w:t>. All of the information provided to the Underwriters or to counsel for the Underwriters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to the Company’s knowledge, its counsel, its officers and directors and the holders of any securities (debt or equity) or options to acquire any securities of the Company in connection with the offering of the Shares is true, complete, correct and compliant in all material respects with FINRA’s rules and any letters, filings or other supplemental information provided to FINRA pursuant to FINRA Rules or NASD Conduct Rules is true, complete and correct in all material respects.</w:t>
      </w:r>
    </w:p>
    <w:p>
      <w:pPr>
        <w:spacing w:after="0" w:line="173" w:lineRule="exact"/>
        <w:rPr>
          <w:rFonts w:ascii="Times New Roman" w:cs="Times New Roman" w:eastAsia="Times New Roman" w:hAnsi="Times New Roman"/>
          <w:sz w:val="20"/>
          <w:szCs w:val="20"/>
          <w:color w:val="auto"/>
        </w:rPr>
      </w:pPr>
    </w:p>
    <w:p>
      <w:pPr>
        <w:jc w:val="both"/>
        <w:ind w:firstLine="644"/>
        <w:spacing w:after="0" w:line="251" w:lineRule="auto"/>
        <w:tabs>
          <w:tab w:leader="none" w:pos="12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 Exchange Listing</w:t>
      </w:r>
      <w:r>
        <w:rPr>
          <w:rFonts w:ascii="Times New Roman" w:cs="Times New Roman" w:eastAsia="Times New Roman" w:hAnsi="Times New Roman"/>
          <w:sz w:val="20"/>
          <w:szCs w:val="20"/>
          <w:color w:val="auto"/>
        </w:rPr>
        <w:t>. The Common Stock is registered pursuant to Section 12(b) of the Exchange Act,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of the NYSE American, the Nasdaq Capital Market, the Nasdaq Global Market, the Nasdaq Global Select Market or the New York Stock Exchange (each a “</w:t>
      </w:r>
      <w:r>
        <w:rPr>
          <w:rFonts w:ascii="Times New Roman" w:cs="Times New Roman" w:eastAsia="Times New Roman" w:hAnsi="Times New Roman"/>
          <w:sz w:val="20"/>
          <w:szCs w:val="20"/>
          <w:b w:val="1"/>
          <w:bCs w:val="1"/>
          <w:color w:val="auto"/>
        </w:rPr>
        <w:t>Trading Market</w:t>
      </w:r>
      <w:r>
        <w:rPr>
          <w:rFonts w:ascii="Times New Roman" w:cs="Times New Roman" w:eastAsia="Times New Roman" w:hAnsi="Times New Roman"/>
          <w:sz w:val="20"/>
          <w:szCs w:val="20"/>
          <w:color w:val="auto"/>
        </w:rPr>
        <w: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4860" w:hanging="110"/>
        <w:spacing w:after="0"/>
        <w:tabs>
          <w:tab w:leader="none" w:pos="486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16 -</w:t>
      </w:r>
    </w:p>
    <w:p>
      <w:pPr>
        <w:sectPr>
          <w:pgSz w:w="11900" w:h="16838" w:orient="portrait"/>
          <w:cols w:equalWidth="0" w:num="1">
            <w:col w:w="10580"/>
          </w:cols>
          <w:pgMar w:left="980" w:top="1413" w:right="339" w:bottom="1440" w:gutter="0" w:footer="0" w:header="0"/>
        </w:sectPr>
      </w:pPr>
    </w:p>
    <w:bookmarkStart w:id="22" w:name="page23"/>
    <w:bookmarkEnd w:id="22"/>
    <w:p>
      <w:pPr>
        <w:ind w:left="4" w:right="20" w:firstLine="644"/>
        <w:spacing w:after="0" w:line="287" w:lineRule="auto"/>
        <w:tabs>
          <w:tab w:leader="none" w:pos="126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Emerging Growth Company. </w:t>
      </w:r>
      <w:r>
        <w:rPr>
          <w:rFonts w:ascii="Times New Roman" w:cs="Times New Roman" w:eastAsia="Times New Roman" w:hAnsi="Times New Roman"/>
          <w:sz w:val="20"/>
          <w:szCs w:val="20"/>
          <w:color w:val="auto"/>
        </w:rPr>
        <w:t>As of the date hereof, the Company is an “emerging growth company” as defined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2(a)(19) of the Securities Act, as modified by the Jumpstart Our Business Startups Act of 2012.</w:t>
      </w:r>
    </w:p>
    <w:p>
      <w:pPr>
        <w:spacing w:after="0" w:line="138" w:lineRule="exact"/>
        <w:rPr>
          <w:rFonts w:ascii="Times New Roman" w:cs="Times New Roman" w:eastAsia="Times New Roman" w:hAnsi="Times New Roman"/>
          <w:sz w:val="20"/>
          <w:szCs w:val="20"/>
          <w:color w:val="auto"/>
        </w:rPr>
      </w:pPr>
    </w:p>
    <w:p>
      <w:pPr>
        <w:ind w:left="4" w:firstLine="644"/>
        <w:spacing w:after="0" w:line="287" w:lineRule="auto"/>
        <w:tabs>
          <w:tab w:leader="none" w:pos="1171"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Smaller Reporting Company. </w:t>
      </w:r>
      <w:r>
        <w:rPr>
          <w:rFonts w:ascii="Times New Roman" w:cs="Times New Roman" w:eastAsia="Times New Roman" w:hAnsi="Times New Roman"/>
          <w:sz w:val="20"/>
          <w:szCs w:val="20"/>
          <w:color w:val="auto"/>
        </w:rPr>
        <w:t>As of the date hereof, the Company is a “smaller reporting company” as defined in Rule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12b-2 of the Exchange Act.</w:t>
      </w:r>
    </w:p>
    <w:p>
      <w:pPr>
        <w:spacing w:after="0" w:line="142" w:lineRule="exact"/>
        <w:rPr>
          <w:rFonts w:ascii="Times New Roman" w:cs="Times New Roman" w:eastAsia="Times New Roman" w:hAnsi="Times New Roman"/>
          <w:sz w:val="20"/>
          <w:szCs w:val="20"/>
          <w:color w:val="auto"/>
        </w:rPr>
      </w:pPr>
    </w:p>
    <w:p>
      <w:pPr>
        <w:ind w:left="344" w:hanging="344"/>
        <w:spacing w:after="0"/>
        <w:tabs>
          <w:tab w:leader="none" w:pos="3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Agreements of the Company</w:t>
      </w:r>
      <w:r>
        <w:rPr>
          <w:rFonts w:ascii="Times New Roman" w:cs="Times New Roman" w:eastAsia="Times New Roman" w:hAnsi="Times New Roman"/>
          <w:sz w:val="20"/>
          <w:szCs w:val="20"/>
          <w:color w:val="auto"/>
        </w:rPr>
        <w:t>. The Company covenants and agrees with each Underwriter that:</w:t>
      </w:r>
    </w:p>
    <w:p>
      <w:pPr>
        <w:spacing w:after="0" w:line="225" w:lineRule="exact"/>
        <w:rPr>
          <w:rFonts w:ascii="Times New Roman" w:cs="Times New Roman" w:eastAsia="Times New Roman" w:hAnsi="Times New Roman"/>
          <w:sz w:val="20"/>
          <w:szCs w:val="20"/>
          <w:color w:val="auto"/>
        </w:rPr>
      </w:pPr>
    </w:p>
    <w:p>
      <w:pPr>
        <w:jc w:val="both"/>
        <w:ind w:left="4" w:firstLine="644"/>
        <w:spacing w:after="0" w:line="267" w:lineRule="auto"/>
        <w:tabs>
          <w:tab w:leader="none" w:pos="1069"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Required Filings. </w:t>
      </w:r>
      <w:r>
        <w:rPr>
          <w:rFonts w:ascii="Times New Roman" w:cs="Times New Roman" w:eastAsia="Times New Roman" w:hAnsi="Times New Roman"/>
          <w:sz w:val="19"/>
          <w:szCs w:val="19"/>
          <w:color w:val="auto"/>
        </w:rPr>
        <w:t>The Company will file the final Prospectus with the Commission within the time periods specified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Rule 424(b) and Rule 430A, 430B or 430C under the Securities Act, and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Representative in New York City prior to 10:00 A.M., New York City time, on the business day next succeeding the date of this Agreement in such quantities as the Representative may reasonably request.</w:t>
      </w:r>
    </w:p>
    <w:p>
      <w:pPr>
        <w:spacing w:after="0" w:line="175" w:lineRule="exact"/>
        <w:rPr>
          <w:rFonts w:ascii="Times New Roman" w:cs="Times New Roman" w:eastAsia="Times New Roman" w:hAnsi="Times New Roman"/>
          <w:sz w:val="19"/>
          <w:szCs w:val="19"/>
          <w:color w:val="auto"/>
        </w:rPr>
      </w:pPr>
    </w:p>
    <w:p>
      <w:pPr>
        <w:jc w:val="both"/>
        <w:ind w:left="4" w:firstLine="644"/>
        <w:spacing w:after="0" w:line="251" w:lineRule="auto"/>
        <w:tabs>
          <w:tab w:leader="none" w:pos="114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Delivery of Copies. </w:t>
      </w:r>
      <w:r>
        <w:rPr>
          <w:rFonts w:ascii="Times New Roman" w:cs="Times New Roman" w:eastAsia="Times New Roman" w:hAnsi="Times New Roman"/>
          <w:sz w:val="20"/>
          <w:szCs w:val="20"/>
          <w:color w:val="auto"/>
        </w:rPr>
        <w:t>Upon written request of the Representative, the Company will deliver, without charge, (i)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Representative, a signed copy of the Registration Statement as originally filed and each amendment thereto, in each case including all exhibits and consents filed therewith (or any document to be filed with the Commission and incorporated by reference therein); and (ii) to the Representative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 may reasonably request. As used herein, the term “</w:t>
      </w:r>
      <w:r>
        <w:rPr>
          <w:rFonts w:ascii="Times New Roman" w:cs="Times New Roman" w:eastAsia="Times New Roman" w:hAnsi="Times New Roman"/>
          <w:sz w:val="20"/>
          <w:szCs w:val="20"/>
          <w:b w:val="1"/>
          <w:bCs w:val="1"/>
          <w:color w:val="auto"/>
        </w:rPr>
        <w:t>Prospectus Delivery Period</w:t>
      </w:r>
      <w:r>
        <w:rPr>
          <w:rFonts w:ascii="Times New Roman" w:cs="Times New Roman" w:eastAsia="Times New Roman" w:hAnsi="Times New Roman"/>
          <w:sz w:val="20"/>
          <w:szCs w:val="20"/>
          <w:color w:val="auto"/>
        </w:rPr>
        <w:t>”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the Underwriters or dealer.</w:t>
      </w:r>
    </w:p>
    <w:p>
      <w:pPr>
        <w:spacing w:after="0" w:line="186" w:lineRule="exact"/>
        <w:rPr>
          <w:rFonts w:ascii="Times New Roman" w:cs="Times New Roman" w:eastAsia="Times New Roman" w:hAnsi="Times New Roman"/>
          <w:sz w:val="20"/>
          <w:szCs w:val="20"/>
          <w:color w:val="auto"/>
        </w:rPr>
      </w:pPr>
    </w:p>
    <w:p>
      <w:pPr>
        <w:jc w:val="both"/>
        <w:ind w:left="4" w:firstLine="644"/>
        <w:spacing w:after="0" w:line="252" w:lineRule="auto"/>
        <w:tabs>
          <w:tab w:leader="none" w:pos="127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Amendments or Supplements, Issuer Free Writing Prospectuses. </w:t>
      </w:r>
      <w:r>
        <w:rPr>
          <w:rFonts w:ascii="Times New Roman" w:cs="Times New Roman" w:eastAsia="Times New Roman" w:hAnsi="Times New Roman"/>
          <w:sz w:val="20"/>
          <w:szCs w:val="20"/>
          <w:color w:val="auto"/>
        </w:rPr>
        <w:t>Before making, preparing, using, authorizing,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approving, referring to or 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Representative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 reasonably objects.</w:t>
      </w:r>
    </w:p>
    <w:p>
      <w:pPr>
        <w:spacing w:after="0" w:line="186" w:lineRule="exact"/>
        <w:rPr>
          <w:rFonts w:ascii="Times New Roman" w:cs="Times New Roman" w:eastAsia="Times New Roman" w:hAnsi="Times New Roman"/>
          <w:sz w:val="20"/>
          <w:szCs w:val="20"/>
          <w:color w:val="auto"/>
        </w:rPr>
      </w:pPr>
    </w:p>
    <w:p>
      <w:pPr>
        <w:jc w:val="both"/>
        <w:ind w:left="4" w:firstLine="644"/>
        <w:spacing w:after="0" w:line="263" w:lineRule="auto"/>
        <w:tabs>
          <w:tab w:leader="none" w:pos="120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Notice to the Representative. </w:t>
      </w:r>
      <w:r>
        <w:rPr>
          <w:rFonts w:ascii="Times New Roman" w:cs="Times New Roman" w:eastAsia="Times New Roman" w:hAnsi="Times New Roman"/>
          <w:sz w:val="20"/>
          <w:szCs w:val="20"/>
          <w:color w:val="auto"/>
        </w:rPr>
        <w:t>The Company will advise the Representative promptly, and confirm such advice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writing, including by electronic mail, (i) when the Registration Statement has become effective; (ii) when any amendment to the Registration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2" w:lineRule="exact"/>
        <w:rPr>
          <w:rFonts w:ascii="Times New Roman" w:cs="Times New Roman" w:eastAsia="Times New Roman" w:hAnsi="Times New Roman"/>
          <w:sz w:val="20"/>
          <w:szCs w:val="20"/>
          <w:color w:val="auto"/>
        </w:rPr>
      </w:pPr>
    </w:p>
    <w:p>
      <w:pPr>
        <w:ind w:left="4864" w:hanging="110"/>
        <w:spacing w:after="0"/>
        <w:tabs>
          <w:tab w:leader="none" w:pos="4864" w:val="left"/>
        </w:tabs>
        <w:numPr>
          <w:ilvl w:val="2"/>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17 -</w:t>
      </w:r>
    </w:p>
    <w:p>
      <w:pPr>
        <w:sectPr>
          <w:pgSz w:w="11900" w:h="16838" w:orient="portrait"/>
          <w:cols w:equalWidth="0" w:num="1">
            <w:col w:w="10584"/>
          </w:cols>
          <w:pgMar w:left="976" w:top="1409" w:right="339" w:bottom="1440" w:gutter="0" w:footer="0" w:header="0"/>
        </w:sectPr>
      </w:pPr>
    </w:p>
    <w:bookmarkStart w:id="23" w:name="page24"/>
    <w:bookmarkEnd w:id="23"/>
    <w:p>
      <w:pPr>
        <w:jc w:val="both"/>
        <w:spacing w:after="0" w:line="249" w:lineRule="auto"/>
        <w:rPr>
          <w:sz w:val="20"/>
          <w:szCs w:val="20"/>
          <w:color w:val="auto"/>
        </w:rPr>
      </w:pPr>
      <w:r>
        <w:rPr>
          <w:rFonts w:ascii="Times New Roman" w:cs="Times New Roman" w:eastAsia="Times New Roman" w:hAnsi="Times New Roman"/>
          <w:sz w:val="20"/>
          <w:szCs w:val="20"/>
          <w:color w:val="auto"/>
        </w:rPr>
        <w:t>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w:t>
      </w:r>
    </w:p>
    <w:p>
      <w:pPr>
        <w:spacing w:after="0" w:line="192" w:lineRule="exact"/>
        <w:rPr>
          <w:sz w:val="20"/>
          <w:szCs w:val="20"/>
          <w:color w:val="auto"/>
        </w:rPr>
      </w:pPr>
    </w:p>
    <w:p>
      <w:pPr>
        <w:jc w:val="both"/>
        <w:ind w:firstLine="644"/>
        <w:spacing w:after="0" w:line="250" w:lineRule="auto"/>
        <w:tabs>
          <w:tab w:leader="none" w:pos="121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Ongoing Compliance. </w:t>
      </w:r>
      <w:r>
        <w:rPr>
          <w:rFonts w:ascii="Times New Roman" w:cs="Times New Roman" w:eastAsia="Times New Roman" w:hAnsi="Times New Roman"/>
          <w:sz w:val="20"/>
          <w:szCs w:val="20"/>
          <w:color w:val="auto"/>
        </w:rPr>
        <w:t>(1) If during the Prospectus Delivery Period (i) any event or development shall occur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or any Additional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7" w:lineRule="exact"/>
        <w:rPr>
          <w:rFonts w:ascii="Times New Roman" w:cs="Times New Roman" w:eastAsia="Times New Roman" w:hAnsi="Times New Roman"/>
          <w:sz w:val="20"/>
          <w:szCs w:val="20"/>
          <w:color w:val="auto"/>
        </w:rPr>
      </w:pPr>
    </w:p>
    <w:p>
      <w:pPr>
        <w:ind w:left="4860" w:hanging="110"/>
        <w:spacing w:after="0"/>
        <w:tabs>
          <w:tab w:leader="none" w:pos="486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18 -</w:t>
      </w:r>
    </w:p>
    <w:p>
      <w:pPr>
        <w:sectPr>
          <w:pgSz w:w="11900" w:h="16838" w:orient="portrait"/>
          <w:cols w:equalWidth="0" w:num="1">
            <w:col w:w="10580"/>
          </w:cols>
          <w:pgMar w:left="980" w:top="1413" w:right="339" w:bottom="1440" w:gutter="0" w:footer="0" w:header="0"/>
        </w:sectPr>
      </w:pPr>
    </w:p>
    <w:bookmarkStart w:id="24" w:name="page25"/>
    <w:bookmarkEnd w:id="24"/>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with the Commission (to the extent required) and furnish to the Representative and to such dealers as the Underwriters may designate such amendments or supplements to the Pricing Disclosure Package as may be necessary so that the statements in the Pricing Disclosure Package (or any document to be filed with the Commission and incorporated by reference therein) as so amended or supplemented will not, in the light of the circumstances existing when the Pricing Disclosure Package is delivered to a purchaser, be misleading or so that the Pricing Disclosure Package will comply with law.</w:t>
      </w:r>
    </w:p>
    <w:p>
      <w:pPr>
        <w:spacing w:after="0" w:line="188" w:lineRule="exact"/>
        <w:rPr>
          <w:sz w:val="20"/>
          <w:szCs w:val="20"/>
          <w:color w:val="auto"/>
        </w:rPr>
      </w:pPr>
    </w:p>
    <w:p>
      <w:pPr>
        <w:jc w:val="both"/>
        <w:ind w:left="4" w:firstLine="644"/>
        <w:spacing w:after="0" w:line="271" w:lineRule="auto"/>
        <w:tabs>
          <w:tab w:leader="none" w:pos="1075"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Blue Sky Compliance. </w:t>
      </w:r>
      <w:r>
        <w:rPr>
          <w:rFonts w:ascii="Times New Roman" w:cs="Times New Roman" w:eastAsia="Times New Roman" w:hAnsi="Times New Roman"/>
          <w:sz w:val="19"/>
          <w:szCs w:val="19"/>
          <w:color w:val="auto"/>
        </w:rPr>
        <w:t>The Company will qualify the Shares for offer and sale under the securities or Blue Sky laws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such jurisdictions as the Representative shall reasonably request and will continue such qualifications in effect so long as required for distribution of the Shares;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70" w:lineRule="exact"/>
        <w:rPr>
          <w:rFonts w:ascii="Times New Roman" w:cs="Times New Roman" w:eastAsia="Times New Roman" w:hAnsi="Times New Roman"/>
          <w:sz w:val="19"/>
          <w:szCs w:val="19"/>
          <w:color w:val="auto"/>
        </w:rPr>
      </w:pPr>
    </w:p>
    <w:p>
      <w:pPr>
        <w:jc w:val="both"/>
        <w:ind w:left="4" w:firstLine="644"/>
        <w:spacing w:after="0" w:line="254" w:lineRule="auto"/>
        <w:tabs>
          <w:tab w:leader="none" w:pos="109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Earnings Statement. </w:t>
      </w:r>
      <w:r>
        <w:rPr>
          <w:rFonts w:ascii="Times New Roman" w:cs="Times New Roman" w:eastAsia="Times New Roman" w:hAnsi="Times New Roman"/>
          <w:sz w:val="20"/>
          <w:szCs w:val="20"/>
          <w:color w:val="auto"/>
        </w:rPr>
        <w:t>The Company will make generally available (which includes filings pursuant to the Exchange 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made publicly through the EDGAR system) to its security holders and the Representative as soon as practicable an earnings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87"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Clear Market. </w:t>
      </w:r>
      <w:r>
        <w:rPr>
          <w:rFonts w:ascii="Times New Roman" w:cs="Times New Roman" w:eastAsia="Times New Roman" w:hAnsi="Times New Roman"/>
          <w:sz w:val="19"/>
          <w:szCs w:val="19"/>
          <w:color w:val="auto"/>
        </w:rPr>
        <w:t>For a period of 60 days after the date of the Prospectus (the “</w:t>
      </w:r>
      <w:r>
        <w:rPr>
          <w:rFonts w:ascii="Times New Roman" w:cs="Times New Roman" w:eastAsia="Times New Roman" w:hAnsi="Times New Roman"/>
          <w:sz w:val="19"/>
          <w:szCs w:val="19"/>
          <w:b w:val="1"/>
          <w:bCs w:val="1"/>
          <w:color w:val="auto"/>
        </w:rPr>
        <w:t>Restricted Period</w:t>
      </w:r>
      <w:r>
        <w:rPr>
          <w:rFonts w:ascii="Times New Roman" w:cs="Times New Roman" w:eastAsia="Times New Roman" w:hAnsi="Times New Roman"/>
          <w:sz w:val="19"/>
          <w:szCs w:val="19"/>
          <w:color w:val="auto"/>
        </w:rPr>
        <w:t>”), the Company will not</w:t>
      </w:r>
    </w:p>
    <w:p>
      <w:pPr>
        <w:spacing w:after="0" w:line="43" w:lineRule="exact"/>
        <w:rPr>
          <w:rFonts w:ascii="Times New Roman" w:cs="Times New Roman" w:eastAsia="Times New Roman" w:hAnsi="Times New Roman"/>
          <w:sz w:val="19"/>
          <w:szCs w:val="19"/>
          <w:color w:val="auto"/>
        </w:rPr>
      </w:pPr>
    </w:p>
    <w:p>
      <w:pPr>
        <w:jc w:val="both"/>
        <w:ind w:left="4" w:hanging="4"/>
        <w:spacing w:after="0" w:line="264" w:lineRule="auto"/>
        <w:tabs>
          <w:tab w:leader="none" w:pos="24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 other than the Shares to be sold hereunder.</w:t>
      </w:r>
    </w:p>
    <w:p>
      <w:pPr>
        <w:spacing w:after="0" w:line="179" w:lineRule="exact"/>
        <w:rPr>
          <w:sz w:val="20"/>
          <w:szCs w:val="20"/>
          <w:color w:val="auto"/>
        </w:rPr>
      </w:pPr>
    </w:p>
    <w:p>
      <w:pPr>
        <w:ind w:left="4" w:right="100" w:firstLine="1296"/>
        <w:spacing w:after="0" w:line="250" w:lineRule="auto"/>
        <w:rPr>
          <w:sz w:val="20"/>
          <w:szCs w:val="20"/>
          <w:color w:val="auto"/>
        </w:rPr>
      </w:pPr>
      <w:r>
        <w:rPr>
          <w:rFonts w:ascii="Times New Roman" w:cs="Times New Roman" w:eastAsia="Times New Roman" w:hAnsi="Times New Roman"/>
          <w:sz w:val="20"/>
          <w:szCs w:val="20"/>
          <w:color w:val="auto"/>
        </w:rPr>
        <w:t>The restrictions described above do not apply to (i) the Shares to be sold hereunder; (ii)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(including net settlement), in each case outstanding on the date of this Agreement and described in the Prospectus; (iii)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0"/>
          <w:szCs w:val="20"/>
          <w:color w:val="auto"/>
        </w:rPr>
        <w:t>- 19 -</w:t>
      </w:r>
    </w:p>
    <w:p>
      <w:pPr>
        <w:sectPr>
          <w:pgSz w:w="11900" w:h="16838" w:orient="portrait"/>
          <w:cols w:equalWidth="0" w:num="1">
            <w:col w:w="10584"/>
          </w:cols>
          <w:pgMar w:left="976" w:top="1413" w:right="339" w:bottom="1440" w:gutter="0" w:footer="0" w:header="0"/>
        </w:sectPr>
      </w:pPr>
    </w:p>
    <w:bookmarkStart w:id="25" w:name="page26"/>
    <w:bookmarkEnd w:id="25"/>
    <w:p>
      <w:pPr>
        <w:ind w:left="4" w:right="60" w:hanging="4"/>
        <w:spacing w:after="0" w:line="271" w:lineRule="auto"/>
        <w:tabs>
          <w:tab w:leader="none" w:pos="284"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establishment of an issuer trading plan pursuant to Rule 10b5-1 under the Exchange Act for the transfer of shares of Common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plan does not provide for the transfer of shares of Common Stock during the Restricted Period and</w:t>
      </w:r>
    </w:p>
    <w:p>
      <w:pPr>
        <w:spacing w:after="0" w:line="1" w:lineRule="exact"/>
        <w:rPr>
          <w:rFonts w:ascii="Times New Roman" w:cs="Times New Roman" w:eastAsia="Times New Roman" w:hAnsi="Times New Roman"/>
          <w:sz w:val="19"/>
          <w:szCs w:val="19"/>
          <w:color w:val="auto"/>
        </w:rPr>
      </w:pPr>
    </w:p>
    <w:p>
      <w:pPr>
        <w:ind w:left="4" w:right="20" w:hanging="4"/>
        <w:spacing w:after="0" w:line="249" w:lineRule="auto"/>
        <w:tabs>
          <w:tab w:leader="none" w:pos="2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public announcement or filing under the Exchange Act, if any, is required of or voluntarily made by the Company regarding the establishment of such plan, such announcement or filing shall include a statement to the effect that no transfer of shares of Common Stock may be made under such plan during the Restricted Period, (vi) shares issued pursuant to that certain purchase agreement, dated as of July 14, 2025, by and between the Company and B. Riley Principal Capital II, as may be amended, supplemented or replaced from time to time, and (vii) shares issued pursuant to an “at the market” facility that may be established by the Company; provided that any issuances pursuant to (vi) and (vii) shall only be permitted to the extent the price per share of such sales is equal to or greater than 150% of the Public Offering Price Per Share listed on Annex A.</w:t>
      </w:r>
    </w:p>
    <w:p>
      <w:pPr>
        <w:spacing w:after="0" w:line="180" w:lineRule="exact"/>
        <w:rPr>
          <w:rFonts w:ascii="Times New Roman" w:cs="Times New Roman" w:eastAsia="Times New Roman" w:hAnsi="Times New Roman"/>
          <w:sz w:val="20"/>
          <w:szCs w:val="20"/>
          <w:color w:val="auto"/>
        </w:rPr>
      </w:pPr>
    </w:p>
    <w:p>
      <w:pPr>
        <w:ind w:left="4" w:firstLine="644"/>
        <w:spacing w:after="0" w:line="287" w:lineRule="auto"/>
        <w:tabs>
          <w:tab w:leader="none" w:pos="111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Use of Proceeds. </w:t>
      </w:r>
      <w:r>
        <w:rPr>
          <w:rFonts w:ascii="Times New Roman" w:cs="Times New Roman" w:eastAsia="Times New Roman" w:hAnsi="Times New Roman"/>
          <w:sz w:val="20"/>
          <w:szCs w:val="20"/>
          <w:color w:val="auto"/>
        </w:rPr>
        <w:t>The Company will apply the net proceeds from the sale of the Shares as described in each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Registration Statement, the Pricing Disclosure Package and the Prospectus under the heading “Use of Proceeds.”</w:t>
      </w:r>
    </w:p>
    <w:p>
      <w:pPr>
        <w:spacing w:after="0" w:line="151" w:lineRule="exact"/>
        <w:rPr>
          <w:rFonts w:ascii="Times New Roman" w:cs="Times New Roman" w:eastAsia="Times New Roman" w:hAnsi="Times New Roman"/>
          <w:sz w:val="20"/>
          <w:szCs w:val="20"/>
          <w:color w:val="auto"/>
        </w:rPr>
      </w:pPr>
    </w:p>
    <w:p>
      <w:pPr>
        <w:jc w:val="both"/>
        <w:ind w:left="4" w:firstLine="644"/>
        <w:spacing w:after="0" w:line="255" w:lineRule="auto"/>
        <w:tabs>
          <w:tab w:leader="none" w:pos="115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Stabilization. </w:t>
      </w:r>
      <w:r>
        <w:rPr>
          <w:rFonts w:ascii="Times New Roman" w:cs="Times New Roman" w:eastAsia="Times New Roman" w:hAnsi="Times New Roman"/>
          <w:sz w:val="20"/>
          <w:szCs w:val="20"/>
          <w:color w:val="auto"/>
        </w:rPr>
        <w:t>Neither the Company nor its subsidiaries or affiliates will take, directly or indirectly, any 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designed to or that would reasonably be expected to cause or result in any stabilization or manipulation of the price of the Stock and will not take any action prohibited by Regulation M under the Exchange Act in connection with the distribution of the Shares contemplated hereby.</w:t>
      </w:r>
    </w:p>
    <w:p>
      <w:pPr>
        <w:spacing w:after="0" w:line="183" w:lineRule="exact"/>
        <w:rPr>
          <w:rFonts w:ascii="Times New Roman" w:cs="Times New Roman" w:eastAsia="Times New Roman" w:hAnsi="Times New Roman"/>
          <w:sz w:val="20"/>
          <w:szCs w:val="20"/>
          <w:color w:val="auto"/>
        </w:rPr>
      </w:pPr>
    </w:p>
    <w:p>
      <w:pPr>
        <w:ind w:left="4" w:firstLine="644"/>
        <w:spacing w:after="0" w:line="287" w:lineRule="auto"/>
        <w:tabs>
          <w:tab w:leader="none" w:pos="1107"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Exchange Listing. </w:t>
      </w:r>
      <w:r>
        <w:rPr>
          <w:rFonts w:ascii="Times New Roman" w:cs="Times New Roman" w:eastAsia="Times New Roman" w:hAnsi="Times New Roman"/>
          <w:sz w:val="20"/>
          <w:szCs w:val="20"/>
          <w:color w:val="auto"/>
        </w:rPr>
        <w:t>The Company will use its reasonable best efforts to list, subject to notice of issuance, the Shares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Nasdaq Stock Market (“</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w:t>
      </w:r>
    </w:p>
    <w:p>
      <w:pPr>
        <w:spacing w:after="0" w:line="138"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1037"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Reports. </w:t>
      </w:r>
      <w:r>
        <w:rPr>
          <w:rFonts w:ascii="Times New Roman" w:cs="Times New Roman" w:eastAsia="Times New Roman" w:hAnsi="Times New Roman"/>
          <w:sz w:val="20"/>
          <w:szCs w:val="20"/>
          <w:color w:val="auto"/>
        </w:rPr>
        <w:t>For a period of two years from the date hereof, the Company will furnish to the Representative, as soon as they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Company will be deemed to have furnished such reports and financial statements to the Representative to the extent they are filed on the Commission’s Electronic Data Gathering, Analysis, and Retrieval system.</w:t>
      </w:r>
    </w:p>
    <w:p>
      <w:pPr>
        <w:spacing w:after="0" w:line="187" w:lineRule="exact"/>
        <w:rPr>
          <w:rFonts w:ascii="Times New Roman" w:cs="Times New Roman" w:eastAsia="Times New Roman" w:hAnsi="Times New Roman"/>
          <w:sz w:val="20"/>
          <w:szCs w:val="20"/>
          <w:color w:val="auto"/>
        </w:rPr>
      </w:pPr>
    </w:p>
    <w:p>
      <w:pPr>
        <w:ind w:left="4" w:firstLine="644"/>
        <w:spacing w:after="0" w:line="287" w:lineRule="auto"/>
        <w:tabs>
          <w:tab w:leader="none" w:pos="113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Record Retention</w:t>
      </w:r>
      <w:r>
        <w:rPr>
          <w:rFonts w:ascii="Times New Roman" w:cs="Times New Roman" w:eastAsia="Times New Roman" w:hAnsi="Times New Roman"/>
          <w:sz w:val="20"/>
          <w:szCs w:val="20"/>
          <w:color w:val="auto"/>
        </w:rPr>
        <w:t>. The Company will, pursuant to reasonable procedures developed in good faith, retain copies of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Issuer Free Writing Prospectus that is not filed with the Commission in accordance with Rule 433 under the Securities Act.</w:t>
      </w:r>
    </w:p>
    <w:p>
      <w:pPr>
        <w:spacing w:after="0" w:line="142" w:lineRule="exact"/>
        <w:rPr>
          <w:sz w:val="20"/>
          <w:szCs w:val="20"/>
          <w:color w:val="auto"/>
        </w:rPr>
      </w:pPr>
    </w:p>
    <w:p>
      <w:pPr>
        <w:ind w:left="344" w:hanging="344"/>
        <w:spacing w:after="0"/>
        <w:tabs>
          <w:tab w:leader="none" w:pos="3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Agreements of the Underwriters</w:t>
      </w:r>
      <w:r>
        <w:rPr>
          <w:rFonts w:ascii="Times New Roman" w:cs="Times New Roman" w:eastAsia="Times New Roman" w:hAnsi="Times New Roman"/>
          <w:sz w:val="20"/>
          <w:szCs w:val="20"/>
          <w:color w:val="auto"/>
        </w:rPr>
        <w:t>. Each Underwriter hereby represents and agrees that: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9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4864" w:hanging="110"/>
        <w:spacing w:after="0"/>
        <w:tabs>
          <w:tab w:leader="none" w:pos="4864"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20 -</w:t>
      </w:r>
    </w:p>
    <w:p>
      <w:pPr>
        <w:sectPr>
          <w:pgSz w:w="11900" w:h="16838" w:orient="portrait"/>
          <w:cols w:equalWidth="0" w:num="1">
            <w:col w:w="10584"/>
          </w:cols>
          <w:pgMar w:left="976" w:top="1413" w:right="339" w:bottom="1440" w:gutter="0" w:footer="0" w:header="0"/>
        </w:sectPr>
      </w:pPr>
    </w:p>
    <w:bookmarkStart w:id="26" w:name="page27"/>
    <w:bookmarkEnd w:id="26"/>
    <w:p>
      <w:pPr>
        <w:jc w:val="both"/>
        <w:ind w:left="4"/>
        <w:spacing w:after="0" w:line="261" w:lineRule="auto"/>
        <w:rPr>
          <w:sz w:val="20"/>
          <w:szCs w:val="20"/>
          <w:color w:val="auto"/>
        </w:rPr>
      </w:pPr>
      <w:r>
        <w:rPr>
          <w:rFonts w:ascii="Times New Roman" w:cs="Times New Roman" w:eastAsia="Times New Roman" w:hAnsi="Times New Roman"/>
          <w:sz w:val="20"/>
          <w:szCs w:val="20"/>
          <w:color w:val="auto"/>
        </w:rPr>
        <w:t>pursuant to Section 3(c) or Section 4(c) above (including any electronic road show), or (iii) any free writing prospectus prepared by the Underwriters and approved by the Company in advance in writing (each such free writing prospectus referred to in clauses (i) or (iii), an “</w:t>
      </w:r>
      <w:r>
        <w:rPr>
          <w:rFonts w:ascii="Times New Roman" w:cs="Times New Roman" w:eastAsia="Times New Roman" w:hAnsi="Times New Roman"/>
          <w:sz w:val="20"/>
          <w:szCs w:val="20"/>
          <w:b w:val="1"/>
          <w:bCs w:val="1"/>
          <w:color w:val="auto"/>
        </w:rPr>
        <w:t>Underwriter Free Writing Prospectus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4" w:firstLine="644"/>
        <w:spacing w:after="0" w:line="253" w:lineRule="auto"/>
        <w:tabs>
          <w:tab w:leader="none" w:pos="110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Underwriters may use a term sheet substantially in the form of Annex C hereto without the consent of the Company;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Underwriter using such term sheet shall notify the Company, and provide a copy of such term sheet to the Company, prior to, or substantially concurrently with, the first use of such term sheet.</w:t>
      </w:r>
    </w:p>
    <w:p>
      <w:pPr>
        <w:spacing w:after="0" w:line="191" w:lineRule="exact"/>
        <w:rPr>
          <w:rFonts w:ascii="Times New Roman" w:cs="Times New Roman" w:eastAsia="Times New Roman" w:hAnsi="Times New Roman"/>
          <w:sz w:val="20"/>
          <w:szCs w:val="20"/>
          <w:color w:val="auto"/>
        </w:rPr>
      </w:pPr>
    </w:p>
    <w:p>
      <w:pPr>
        <w:ind w:left="4" w:firstLine="644"/>
        <w:spacing w:after="0" w:line="269" w:lineRule="auto"/>
        <w:tabs>
          <w:tab w:leader="none" w:pos="1085"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41"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not and will not take any action that would result in the Company 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181" w:lineRule="exact"/>
        <w:rPr>
          <w:rFonts w:ascii="Times New Roman" w:cs="Times New Roman" w:eastAsia="Times New Roman" w:hAnsi="Times New Roman"/>
          <w:sz w:val="20"/>
          <w:szCs w:val="20"/>
          <w:color w:val="auto"/>
        </w:rPr>
      </w:pPr>
    </w:p>
    <w:p>
      <w:pPr>
        <w:jc w:val="both"/>
        <w:ind w:left="-656" w:firstLine="656"/>
        <w:spacing w:after="0" w:line="261" w:lineRule="auto"/>
        <w:tabs>
          <w:tab w:leader="none" w:pos="33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Underwriters’ Obligations.</w:t>
      </w:r>
      <w:r>
        <w:rPr>
          <w:rFonts w:ascii="Times New Roman" w:cs="Times New Roman" w:eastAsia="Times New Roman" w:hAnsi="Times New Roman"/>
          <w:sz w:val="20"/>
          <w:szCs w:val="20"/>
          <w:color w:val="auto"/>
        </w:rPr>
        <w:t xml:space="preserve"> The obligation of the Underwriters to purchase the Underwritten Shares on the Closing Date or the Option Shares on the Additional Closing Date, as the case may be, as provided herein is subject to the performance by the Company of its covenants and other obligations hereunder and to the following additional conditions:</w:t>
      </w:r>
    </w:p>
    <w:p>
      <w:pPr>
        <w:spacing w:after="0" w:line="177"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09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Registration Compliance; No Stop Order. </w:t>
      </w:r>
      <w:r>
        <w:rPr>
          <w:rFonts w:ascii="Times New Roman" w:cs="Times New Roman" w:eastAsia="Times New Roman" w:hAnsi="Times New Roman"/>
          <w:sz w:val="20"/>
          <w:szCs w:val="20"/>
          <w:color w:val="auto"/>
        </w:rPr>
        <w:t>No order suspending the effectiveness of the Registration Statement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spacing w:after="0" w:line="190" w:lineRule="exact"/>
        <w:rPr>
          <w:rFonts w:ascii="Times New Roman" w:cs="Times New Roman" w:eastAsia="Times New Roman" w:hAnsi="Times New Roman"/>
          <w:sz w:val="20"/>
          <w:szCs w:val="20"/>
          <w:color w:val="auto"/>
        </w:rPr>
      </w:pPr>
    </w:p>
    <w:p>
      <w:pPr>
        <w:jc w:val="both"/>
        <w:ind w:left="4" w:firstLine="644"/>
        <w:spacing w:after="0" w:line="260" w:lineRule="auto"/>
        <w:tabs>
          <w:tab w:leader="none" w:pos="109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Representations and Warranties. </w:t>
      </w:r>
      <w:r>
        <w:rPr>
          <w:rFonts w:ascii="Times New Roman" w:cs="Times New Roman" w:eastAsia="Times New Roman" w:hAnsi="Times New Roman"/>
          <w:sz w:val="20"/>
          <w:szCs w:val="20"/>
          <w:color w:val="auto"/>
        </w:rPr>
        <w:t>The representations and warranties of the Company contained herein shall be true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64"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11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Material Adverse Change. </w:t>
      </w:r>
      <w:r>
        <w:rPr>
          <w:rFonts w:ascii="Times New Roman" w:cs="Times New Roman" w:eastAsia="Times New Roman" w:hAnsi="Times New Roman"/>
          <w:sz w:val="20"/>
          <w:szCs w:val="20"/>
          <w:color w:val="auto"/>
        </w:rPr>
        <w:t>No event or condition of a type described in Section 3(h) hereof shall have occurred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Underwritten Shares on the Closing Date or the Option Shares 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8" w:lineRule="exact"/>
        <w:rPr>
          <w:rFonts w:ascii="Times New Roman" w:cs="Times New Roman" w:eastAsia="Times New Roman" w:hAnsi="Times New Roman"/>
          <w:sz w:val="20"/>
          <w:szCs w:val="20"/>
          <w:color w:val="auto"/>
        </w:rPr>
      </w:pPr>
    </w:p>
    <w:p>
      <w:pPr>
        <w:ind w:left="4864" w:hanging="110"/>
        <w:spacing w:after="0"/>
        <w:tabs>
          <w:tab w:leader="none" w:pos="4864"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21 -</w:t>
      </w:r>
    </w:p>
    <w:p>
      <w:pPr>
        <w:sectPr>
          <w:pgSz w:w="11900" w:h="16838" w:orient="portrait"/>
          <w:cols w:equalWidth="0" w:num="1">
            <w:col w:w="10584"/>
          </w:cols>
          <w:pgMar w:left="976" w:top="1413" w:right="339" w:bottom="1440" w:gutter="0" w:footer="0" w:header="0"/>
        </w:sectPr>
      </w:pPr>
    </w:p>
    <w:bookmarkStart w:id="27" w:name="page28"/>
    <w:bookmarkEnd w:id="27"/>
    <w:p>
      <w:pPr>
        <w:spacing w:after="0" w:line="283" w:lineRule="auto"/>
        <w:rPr>
          <w:sz w:val="20"/>
          <w:szCs w:val="20"/>
          <w:color w:val="auto"/>
        </w:rPr>
      </w:pPr>
      <w:r>
        <w:rPr>
          <w:rFonts w:ascii="Times New Roman" w:cs="Times New Roman" w:eastAsia="Times New Roman" w:hAnsi="Times New Roman"/>
          <w:sz w:val="20"/>
          <w:szCs w:val="20"/>
          <w:color w:val="auto"/>
        </w:rPr>
        <w:t>the Additional Closing Date, as the case may be, on the terms and in the manner contemplated by this Agreement, the Pricing Disclosure Package and the Prospectus.</w:t>
      </w:r>
    </w:p>
    <w:p>
      <w:pPr>
        <w:spacing w:after="0" w:line="142" w:lineRule="exact"/>
        <w:rPr>
          <w:sz w:val="20"/>
          <w:szCs w:val="20"/>
          <w:color w:val="auto"/>
        </w:rPr>
      </w:pPr>
    </w:p>
    <w:p>
      <w:pPr>
        <w:jc w:val="both"/>
        <w:ind w:firstLine="644"/>
        <w:spacing w:after="0" w:line="252" w:lineRule="auto"/>
        <w:tabs>
          <w:tab w:leader="none" w:pos="111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Officer’s Certificate. </w:t>
      </w:r>
      <w:r>
        <w:rPr>
          <w:rFonts w:ascii="Times New Roman" w:cs="Times New Roman" w:eastAsia="Times New Roman" w:hAnsi="Times New Roman"/>
          <w:sz w:val="20"/>
          <w:szCs w:val="20"/>
          <w:color w:val="auto"/>
        </w:rPr>
        <w:t>The Representative shall have received on and as of the Closing Date or the Additional Closing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as the case may be, a certificate of the chief financial officer or chief accounting officer of the Company and one additional senior executive officer of the Company who is satisfactory to the Representative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w:t>
      </w:r>
    </w:p>
    <w:p>
      <w:pPr>
        <w:spacing w:after="0" w:line="187" w:lineRule="exact"/>
        <w:rPr>
          <w:rFonts w:ascii="Times New Roman" w:cs="Times New Roman" w:eastAsia="Times New Roman" w:hAnsi="Times New Roman"/>
          <w:sz w:val="20"/>
          <w:szCs w:val="20"/>
          <w:color w:val="auto"/>
        </w:rPr>
      </w:pPr>
    </w:p>
    <w:p>
      <w:pPr>
        <w:ind w:left="1060" w:hanging="416"/>
        <w:spacing w:after="0"/>
        <w:tabs>
          <w:tab w:leader="none" w:pos="10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Comfort Letters.</w:t>
      </w:r>
    </w:p>
    <w:p>
      <w:pPr>
        <w:spacing w:after="0" w:line="233" w:lineRule="exact"/>
        <w:rPr>
          <w:rFonts w:ascii="Times New Roman" w:cs="Times New Roman" w:eastAsia="Times New Roman" w:hAnsi="Times New Roman"/>
          <w:sz w:val="20"/>
          <w:szCs w:val="20"/>
          <w:color w:val="auto"/>
        </w:rPr>
      </w:pPr>
    </w:p>
    <w:p>
      <w:pPr>
        <w:jc w:val="both"/>
        <w:ind w:left="640" w:firstLine="652"/>
        <w:spacing w:after="0" w:line="251" w:lineRule="auto"/>
        <w:tabs>
          <w:tab w:leader="none" w:pos="152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of this Agreement and on the Closing Date or the Additional Closing Date, as the case may be, UHY LLP shall have furnished to the Representative, at the request of the Company, a letter, dated the date of delivery thereof and addressed to the Representative, in form and substance reasonably satisfactory to the Representative,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letter delivered on the Closing Date or the Additional Closing Date, as the case may be, shall use a “cut-off” date no more than two business days prior to such Closing Date or such Additional Closing Date, as the case may be.</w:t>
      </w:r>
    </w:p>
    <w:p>
      <w:pPr>
        <w:spacing w:after="0" w:line="181" w:lineRule="exact"/>
        <w:rPr>
          <w:rFonts w:ascii="Times New Roman" w:cs="Times New Roman" w:eastAsia="Times New Roman" w:hAnsi="Times New Roman"/>
          <w:sz w:val="20"/>
          <w:szCs w:val="20"/>
          <w:color w:val="auto"/>
        </w:rPr>
      </w:pPr>
    </w:p>
    <w:p>
      <w:pPr>
        <w:jc w:val="both"/>
        <w:ind w:left="640" w:firstLine="652"/>
        <w:spacing w:after="0" w:line="257" w:lineRule="auto"/>
        <w:tabs>
          <w:tab w:leader="none" w:pos="159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this Agreement and on the Closing Date or the Additional Closing Date, as the case may be, the Company shall have furnished to the Representative a certificate, dated the respective dates of delivery thereof and addressed to the Representative, of its chief financial officer with respect to certain financial data contained in the Pricing Disclosure Package and the Prospectus, providing “management comfort” with respect to such information, in form and substance reasonably satisfactory to the Representative.</w:t>
      </w:r>
    </w:p>
    <w:p>
      <w:pPr>
        <w:spacing w:after="0" w:line="168" w:lineRule="exact"/>
        <w:rPr>
          <w:rFonts w:ascii="Times New Roman" w:cs="Times New Roman" w:eastAsia="Times New Roman" w:hAnsi="Times New Roman"/>
          <w:sz w:val="20"/>
          <w:szCs w:val="20"/>
          <w:color w:val="auto"/>
        </w:rPr>
      </w:pPr>
    </w:p>
    <w:p>
      <w:pPr>
        <w:jc w:val="both"/>
        <w:ind w:firstLine="644"/>
        <w:spacing w:after="0" w:line="260" w:lineRule="auto"/>
        <w:tabs>
          <w:tab w:leader="none" w:pos="107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Opinion and Negative Assurance Letter of Counsel for the Company. </w:t>
      </w:r>
      <w:r>
        <w:rPr>
          <w:rFonts w:ascii="Times New Roman" w:cs="Times New Roman" w:eastAsia="Times New Roman" w:hAnsi="Times New Roman"/>
          <w:sz w:val="20"/>
          <w:szCs w:val="20"/>
          <w:color w:val="auto"/>
        </w:rPr>
        <w:t>Faegre Drinker Biddle &amp; Reath LLP, counsel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shall have furnished to the Representative, at the request of the Company, its written opinion and negative assurance letter, dated the Closing Date or the Additional Closing Date, as the case may be, and addressed to the Representative, in form and substance reasonably satisfactory to the Representative.</w:t>
      </w:r>
    </w:p>
    <w:p>
      <w:pPr>
        <w:spacing w:after="0" w:line="177" w:lineRule="exact"/>
        <w:rPr>
          <w:rFonts w:ascii="Times New Roman" w:cs="Times New Roman" w:eastAsia="Times New Roman" w:hAnsi="Times New Roman"/>
          <w:sz w:val="20"/>
          <w:szCs w:val="20"/>
          <w:color w:val="auto"/>
        </w:rPr>
      </w:pPr>
    </w:p>
    <w:p>
      <w:pPr>
        <w:jc w:val="both"/>
        <w:ind w:firstLine="644"/>
        <w:spacing w:after="0" w:line="254" w:lineRule="auto"/>
        <w:tabs>
          <w:tab w:leader="none" w:pos="107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Negative Assurance Statement of Counsel for the Underwriters. </w:t>
      </w:r>
      <w:r>
        <w:rPr>
          <w:rFonts w:ascii="Times New Roman" w:cs="Times New Roman" w:eastAsia="Times New Roman" w:hAnsi="Times New Roman"/>
          <w:sz w:val="20"/>
          <w:szCs w:val="20"/>
          <w:color w:val="auto"/>
        </w:rPr>
        <w:t>The Representative shall have received on and as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Closing Date or the Additional Closing Date, as the case may be, a negative assurance statement, addressed to the Underwriters, of Reed Smith LLP, counsel for the Representative, with respect to such matters as the Representative may reasonably request, and such counsel shall have received such documents and information as they may reasonably request to enable them to pass upon such matters.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ind w:left="4860" w:hanging="110"/>
        <w:spacing w:after="0"/>
        <w:tabs>
          <w:tab w:leader="none" w:pos="4860" w:val="left"/>
        </w:tabs>
        <w:numPr>
          <w:ilvl w:val="2"/>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22 -</w:t>
      </w:r>
    </w:p>
    <w:p>
      <w:pPr>
        <w:sectPr>
          <w:pgSz w:w="11900" w:h="16838" w:orient="portrait"/>
          <w:cols w:equalWidth="0" w:num="1">
            <w:col w:w="10580"/>
          </w:cols>
          <w:pgMar w:left="980" w:top="1413" w:right="339" w:bottom="1440" w:gutter="0" w:footer="0" w:header="0"/>
        </w:sectPr>
      </w:pPr>
    </w:p>
    <w:bookmarkStart w:id="28" w:name="page29"/>
    <w:bookmarkEnd w:id="28"/>
    <w:p>
      <w:pPr>
        <w:jc w:val="both"/>
        <w:ind w:left="660" w:firstLine="644"/>
        <w:spacing w:after="0" w:line="254" w:lineRule="auto"/>
        <w:tabs>
          <w:tab w:leader="none" w:pos="179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Legal Impediment to Issuance and Sale. </w:t>
      </w:r>
      <w:r>
        <w:rPr>
          <w:rFonts w:ascii="Times New Roman" w:cs="Times New Roman" w:eastAsia="Times New Roman" w:hAnsi="Times New Roman"/>
          <w:sz w:val="20"/>
          <w:szCs w:val="20"/>
          <w:color w:val="auto"/>
        </w:rPr>
        <w:t>No action shall have been taken and no statute, rule, regulation or order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have been 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187" w:lineRule="exact"/>
        <w:rPr>
          <w:rFonts w:ascii="Times New Roman" w:cs="Times New Roman" w:eastAsia="Times New Roman" w:hAnsi="Times New Roman"/>
          <w:sz w:val="20"/>
          <w:szCs w:val="20"/>
          <w:color w:val="auto"/>
        </w:rPr>
      </w:pPr>
    </w:p>
    <w:p>
      <w:pPr>
        <w:ind w:left="660" w:firstLine="644"/>
        <w:spacing w:after="0" w:line="287" w:lineRule="auto"/>
        <w:tabs>
          <w:tab w:leader="none" w:pos="170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Good Standing</w:t>
      </w:r>
      <w:r>
        <w:rPr>
          <w:rFonts w:ascii="Times New Roman" w:cs="Times New Roman" w:eastAsia="Times New Roman" w:hAnsi="Times New Roman"/>
          <w:sz w:val="20"/>
          <w:szCs w:val="20"/>
          <w:color w:val="auto"/>
        </w:rPr>
        <w:t>. The Representative shall have received on the Closing Date or the Additional Closing Date, as the case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be, satisfactory evidence of the good standing of the Company in its jurisdiction of organization.</w:t>
      </w:r>
    </w:p>
    <w:p>
      <w:pPr>
        <w:spacing w:after="0" w:line="138" w:lineRule="exact"/>
        <w:rPr>
          <w:rFonts w:ascii="Times New Roman" w:cs="Times New Roman" w:eastAsia="Times New Roman" w:hAnsi="Times New Roman"/>
          <w:sz w:val="20"/>
          <w:szCs w:val="20"/>
          <w:color w:val="auto"/>
        </w:rPr>
      </w:pPr>
    </w:p>
    <w:p>
      <w:pPr>
        <w:ind w:left="660" w:firstLine="644"/>
        <w:spacing w:after="0" w:line="287" w:lineRule="auto"/>
        <w:tabs>
          <w:tab w:leader="none" w:pos="16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Exchange Listing. </w:t>
      </w:r>
      <w:r>
        <w:rPr>
          <w:rFonts w:ascii="Times New Roman" w:cs="Times New Roman" w:eastAsia="Times New Roman" w:hAnsi="Times New Roman"/>
          <w:sz w:val="20"/>
          <w:szCs w:val="20"/>
          <w:color w:val="auto"/>
        </w:rPr>
        <w:t>The Company shall have filed a Listing of Additional Shares Notification Form with the Nasdaq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 to the Shares and shall have received no objection thereto from the Nasdaq.</w:t>
      </w:r>
    </w:p>
    <w:p>
      <w:pPr>
        <w:spacing w:after="0" w:line="138" w:lineRule="exact"/>
        <w:rPr>
          <w:rFonts w:ascii="Times New Roman" w:cs="Times New Roman" w:eastAsia="Times New Roman" w:hAnsi="Times New Roman"/>
          <w:sz w:val="20"/>
          <w:szCs w:val="20"/>
          <w:color w:val="auto"/>
        </w:rPr>
      </w:pPr>
    </w:p>
    <w:p>
      <w:pPr>
        <w:jc w:val="both"/>
        <w:ind w:left="660" w:firstLine="644"/>
        <w:spacing w:after="0" w:line="260" w:lineRule="auto"/>
        <w:tabs>
          <w:tab w:leader="none" w:pos="185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Lock-up Agreements</w:t>
      </w:r>
      <w:r>
        <w:rPr>
          <w:rFonts w:ascii="Times New Roman" w:cs="Times New Roman" w:eastAsia="Times New Roman" w:hAnsi="Times New Roman"/>
          <w:sz w:val="20"/>
          <w:szCs w:val="20"/>
          <w:color w:val="auto"/>
        </w:rPr>
        <w:t>. The “lock-up” agreements, each substantially in the form of Exhibit C hereto, between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Representative, officers and directors of the Company relating to sales and certain other dispositions of shares of Stock or certain other securities, delivered to the Representative on or before the date hereof, shall be in full force and effect on the Closing Date or the Additional Closing Date, as the case may be.</w:t>
      </w:r>
    </w:p>
    <w:p>
      <w:pPr>
        <w:spacing w:after="0" w:line="177" w:lineRule="exact"/>
        <w:rPr>
          <w:rFonts w:ascii="Times New Roman" w:cs="Times New Roman" w:eastAsia="Times New Roman" w:hAnsi="Times New Roman"/>
          <w:sz w:val="20"/>
          <w:szCs w:val="20"/>
          <w:color w:val="auto"/>
        </w:rPr>
      </w:pPr>
    </w:p>
    <w:p>
      <w:pPr>
        <w:ind w:left="660" w:firstLine="644"/>
        <w:spacing w:after="0" w:line="273" w:lineRule="auto"/>
        <w:tabs>
          <w:tab w:leader="none" w:pos="170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FINRA</w:t>
      </w:r>
      <w:r>
        <w:rPr>
          <w:rFonts w:ascii="Times New Roman" w:cs="Times New Roman" w:eastAsia="Times New Roman" w:hAnsi="Times New Roman"/>
          <w:sz w:val="20"/>
          <w:szCs w:val="20"/>
          <w:color w:val="auto"/>
        </w:rPr>
        <w:t>. FINRA shall not have raised any objection with respect to the fairness or reasonableness of the underwriting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arrangements of the transactions contemplated hereunder.</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91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Additional Documents. </w:t>
      </w:r>
      <w:r>
        <w:rPr>
          <w:rFonts w:ascii="Times New Roman" w:cs="Times New Roman" w:eastAsia="Times New Roman" w:hAnsi="Times New Roman"/>
          <w:sz w:val="20"/>
          <w:szCs w:val="20"/>
          <w:color w:val="auto"/>
        </w:rPr>
        <w:t>On or prior to the Closing Date or the Additional Closing Date, as the case may be,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shall have furnished to the Representative such further certificates and documents as the Representative may reasonably request.</w:t>
      </w:r>
    </w:p>
    <w:p>
      <w:pPr>
        <w:spacing w:after="0" w:line="17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3" w:lineRule="exact"/>
        <w:rPr>
          <w:sz w:val="20"/>
          <w:szCs w:val="20"/>
          <w:color w:val="auto"/>
        </w:rPr>
      </w:pPr>
    </w:p>
    <w:p>
      <w:pPr>
        <w:ind w:left="1000" w:hanging="344"/>
        <w:spacing w:after="0"/>
        <w:tabs>
          <w:tab w:leader="none" w:pos="10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and Contribution</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656"/>
        <w:spacing w:after="0" w:line="251" w:lineRule="auto"/>
        <w:tabs>
          <w:tab w:leader="none" w:pos="11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Indemnification of the Underwriters. </w:t>
      </w:r>
      <w:r>
        <w:rPr>
          <w:rFonts w:ascii="Times New Roman" w:cs="Times New Roman" w:eastAsia="Times New Roman" w:hAnsi="Times New Roman"/>
          <w:sz w:val="20"/>
          <w:szCs w:val="20"/>
          <w:color w:val="auto"/>
        </w:rPr>
        <w:t>The Company agrees to indemnify and hold harmless each Underwriter, its affiliates,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w:t>
      </w:r>
      <w:r>
        <w:rPr>
          <w:rFonts w:ascii="Times New Roman" w:cs="Times New Roman" w:eastAsia="Times New Roman" w:hAnsi="Times New Roman"/>
          <w:sz w:val="20"/>
          <w:szCs w:val="20"/>
          <w:b w:val="1"/>
          <w:bCs w:val="1"/>
          <w:color w:val="auto"/>
        </w:rPr>
        <w:t>road show</w:t>
      </w:r>
      <w:r>
        <w:rPr>
          <w:rFonts w:ascii="Times New Roman" w:cs="Times New Roman" w:eastAsia="Times New Roman" w:hAnsi="Times New Roman"/>
          <w:sz w:val="20"/>
          <w:szCs w:val="20"/>
          <w:color w:val="auto"/>
        </w:rPr>
        <w:t>”) or any Pricing Disclosure Package (including any Pricing Disclosure Package that has subsequently been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23 -</w:t>
      </w:r>
    </w:p>
    <w:p>
      <w:pPr>
        <w:sectPr>
          <w:pgSz w:w="11900" w:h="16838" w:orient="portrait"/>
          <w:cols w:equalWidth="0" w:num="1">
            <w:col w:w="11240"/>
          </w:cols>
          <w:pgMar w:left="320" w:top="1409"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20"/>
          <w:szCs w:val="20"/>
          <w:color w:val="auto"/>
        </w:rPr>
        <w:t>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paragraph (b) below.</w:t>
      </w:r>
    </w:p>
    <w:p>
      <w:pPr>
        <w:spacing w:after="0" w:line="188" w:lineRule="exact"/>
        <w:rPr>
          <w:sz w:val="20"/>
          <w:szCs w:val="20"/>
          <w:color w:val="auto"/>
        </w:rPr>
      </w:pPr>
    </w:p>
    <w:p>
      <w:pPr>
        <w:jc w:val="both"/>
        <w:ind w:firstLine="656"/>
        <w:spacing w:after="0" w:line="250" w:lineRule="auto"/>
        <w:tabs>
          <w:tab w:leader="none" w:pos="119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Indemnification of the Company. </w:t>
      </w:r>
      <w:r>
        <w:rPr>
          <w:rFonts w:ascii="Times New Roman" w:cs="Times New Roman" w:eastAsia="Times New Roman" w:hAnsi="Times New Roman"/>
          <w:sz w:val="20"/>
          <w:szCs w:val="20"/>
          <w:color w:val="auto"/>
        </w:rPr>
        <w:t>Each Underwriter agrees, severally and not jointly, to indemnify and hold harmless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(i) the concession and reallowance figures appearing in the second paragraph under the caption “Underwriting,” (ii) paragraphs one, two and three under the caption “Price Stabilization, Short Position and Penalty Bids,” and (iii) the second, third and fourth sentences in the first paragraph under “Electronic Offer, Sale and Distribution.”</w:t>
      </w:r>
    </w:p>
    <w:p>
      <w:pPr>
        <w:spacing w:after="0" w:line="189" w:lineRule="exact"/>
        <w:rPr>
          <w:rFonts w:ascii="Times New Roman" w:cs="Times New Roman" w:eastAsia="Times New Roman" w:hAnsi="Times New Roman"/>
          <w:sz w:val="20"/>
          <w:szCs w:val="20"/>
          <w:color w:val="auto"/>
        </w:rPr>
      </w:pPr>
    </w:p>
    <w:p>
      <w:pPr>
        <w:jc w:val="both"/>
        <w:ind w:firstLine="656"/>
        <w:spacing w:after="0" w:line="262" w:lineRule="auto"/>
        <w:tabs>
          <w:tab w:leader="none" w:pos="1187"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Notice and Procedures. </w:t>
      </w:r>
      <w:r>
        <w:rPr>
          <w:rFonts w:ascii="Times New Roman" w:cs="Times New Roman" w:eastAsia="Times New Roman" w:hAnsi="Times New Roman"/>
          <w:sz w:val="19"/>
          <w:szCs w:val="19"/>
          <w:color w:val="auto"/>
        </w:rPr>
        <w:t>If any suit, action, proceeding (including any governmental or regulatory investigation), claim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demand shall be brought or asserted against any person in respect of which indemnification may be sought pursuant to the preceding paragraphs of this Section 7, such person (the “</w:t>
      </w:r>
      <w:r>
        <w:rPr>
          <w:rFonts w:ascii="Times New Roman" w:cs="Times New Roman" w:eastAsia="Times New Roman" w:hAnsi="Times New Roman"/>
          <w:sz w:val="19"/>
          <w:szCs w:val="19"/>
          <w:b w:val="1"/>
          <w:bCs w:val="1"/>
          <w:color w:val="auto"/>
        </w:rPr>
        <w:t>Indemnified Person</w:t>
      </w:r>
      <w:r>
        <w:rPr>
          <w:rFonts w:ascii="Times New Roman" w:cs="Times New Roman" w:eastAsia="Times New Roman" w:hAnsi="Times New Roman"/>
          <w:sz w:val="19"/>
          <w:szCs w:val="19"/>
          <w:color w:val="auto"/>
        </w:rPr>
        <w:t>”) shall promptly notify the person against whom such indemnification may be sought (the “</w:t>
      </w:r>
      <w:r>
        <w:rPr>
          <w:rFonts w:ascii="Times New Roman" w:cs="Times New Roman" w:eastAsia="Times New Roman" w:hAnsi="Times New Roman"/>
          <w:sz w:val="19"/>
          <w:szCs w:val="19"/>
          <w:b w:val="1"/>
          <w:bCs w:val="1"/>
          <w:color w:val="auto"/>
        </w:rPr>
        <w:t>Indemnifying Person</w:t>
      </w:r>
      <w:r>
        <w:rPr>
          <w:rFonts w:ascii="Times New Roman" w:cs="Times New Roman" w:eastAsia="Times New Roman" w:hAnsi="Times New Roman"/>
          <w:sz w:val="19"/>
          <w:szCs w:val="19"/>
          <w:color w:val="auto"/>
        </w:rPr>
        <w:t xml:space="preserve">”) in writing;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w:t>
      </w:r>
    </w:p>
    <w:p>
      <w:pPr>
        <w:spacing w:after="0" w:line="5" w:lineRule="exact"/>
        <w:rPr>
          <w:rFonts w:ascii="Times New Roman" w:cs="Times New Roman" w:eastAsia="Times New Roman" w:hAnsi="Times New Roman"/>
          <w:sz w:val="19"/>
          <w:szCs w:val="19"/>
          <w:color w:val="auto"/>
        </w:rPr>
      </w:pPr>
    </w:p>
    <w:p>
      <w:pPr>
        <w:jc w:val="both"/>
        <w:ind w:firstLine="8"/>
        <w:spacing w:after="0" w:line="253" w:lineRule="auto"/>
        <w:tabs>
          <w:tab w:leader="none" w:pos="36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24 -</w:t>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49" w:lineRule="auto"/>
        <w:rPr>
          <w:sz w:val="20"/>
          <w:szCs w:val="20"/>
          <w:color w:val="auto"/>
        </w:rPr>
      </w:pPr>
      <w:r>
        <w:rPr>
          <w:rFonts w:ascii="Times New Roman" w:cs="Times New Roman" w:eastAsia="Times New Roman" w:hAnsi="Times New Roman"/>
          <w:sz w:val="20"/>
          <w:szCs w:val="20"/>
          <w:color w:val="auto"/>
        </w:rPr>
        <w:t>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in good faith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8" w:lineRule="exact"/>
        <w:rPr>
          <w:sz w:val="20"/>
          <w:szCs w:val="20"/>
          <w:color w:val="auto"/>
        </w:rPr>
      </w:pPr>
    </w:p>
    <w:p>
      <w:pPr>
        <w:jc w:val="both"/>
        <w:ind w:firstLine="656"/>
        <w:spacing w:after="0" w:line="250" w:lineRule="auto"/>
        <w:tabs>
          <w:tab w:leader="none" w:pos="115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Contribution. </w:t>
      </w:r>
      <w:r>
        <w:rPr>
          <w:rFonts w:ascii="Times New Roman" w:cs="Times New Roman" w:eastAsia="Times New Roman" w:hAnsi="Times New Roman"/>
          <w:sz w:val="20"/>
          <w:szCs w:val="20"/>
          <w:color w:val="auto"/>
        </w:rPr>
        <w:t>If the indemnification provided for in paragraphs (a) or (b) above is unavailable to an Indemnified Person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6" w:lineRule="exact"/>
        <w:rPr>
          <w:rFonts w:ascii="Times New Roman" w:cs="Times New Roman" w:eastAsia="Times New Roman" w:hAnsi="Times New Roman"/>
          <w:sz w:val="20"/>
          <w:szCs w:val="20"/>
          <w:color w:val="auto"/>
        </w:rPr>
      </w:pPr>
    </w:p>
    <w:p>
      <w:pPr>
        <w:ind w:right="20" w:firstLine="656"/>
        <w:spacing w:after="0" w:line="287" w:lineRule="auto"/>
        <w:tabs>
          <w:tab w:leader="none" w:pos="106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Limitation on Liability. </w:t>
      </w:r>
      <w:r>
        <w:rPr>
          <w:rFonts w:ascii="Times New Roman" w:cs="Times New Roman" w:eastAsia="Times New Roman" w:hAnsi="Times New Roman"/>
          <w:sz w:val="20"/>
          <w:szCs w:val="20"/>
          <w:color w:val="auto"/>
        </w:rPr>
        <w:t>The Company and the Underwriters agree that it would not be just and equitable if contribution pursuant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paragraph (d) above were determined by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allocation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25 -</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20"/>
          <w:szCs w:val="20"/>
          <w:color w:val="auto"/>
        </w:rPr>
        <w:t>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72" w:lineRule="exact"/>
        <w:rPr>
          <w:sz w:val="20"/>
          <w:szCs w:val="20"/>
          <w:color w:val="auto"/>
        </w:rPr>
      </w:pPr>
    </w:p>
    <w:p>
      <w:pPr>
        <w:ind w:firstLine="656"/>
        <w:spacing w:after="0" w:line="287" w:lineRule="auto"/>
        <w:tabs>
          <w:tab w:leader="none" w:pos="105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Non-Exclusive Remedies. </w:t>
      </w:r>
      <w:r>
        <w:rPr>
          <w:rFonts w:ascii="Times New Roman" w:cs="Times New Roman" w:eastAsia="Times New Roman" w:hAnsi="Times New Roman"/>
          <w:sz w:val="20"/>
          <w:szCs w:val="20"/>
          <w:color w:val="auto"/>
        </w:rPr>
        <w:t>The remedies provided for in this Section 7 paragraphs (a) through (e) are not exclusive and shall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 any rights or remedies which may otherwise be available to any Indemnified Person at law or in equity.</w:t>
      </w:r>
    </w:p>
    <w:p>
      <w:pPr>
        <w:spacing w:after="0" w:line="156" w:lineRule="exact"/>
        <w:rPr>
          <w:sz w:val="20"/>
          <w:szCs w:val="20"/>
          <w:color w:val="auto"/>
        </w:rPr>
      </w:pPr>
    </w:p>
    <w:p>
      <w:pPr>
        <w:ind w:firstLine="656"/>
        <w:spacing w:after="0" w:line="269" w:lineRule="auto"/>
        <w:tabs>
          <w:tab w:leader="none" w:pos="10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Agreement</w:t>
      </w:r>
      <w:r>
        <w:rPr>
          <w:rFonts w:ascii="Times New Roman" w:cs="Times New Roman" w:eastAsia="Times New Roman" w:hAnsi="Times New Roman"/>
          <w:sz w:val="20"/>
          <w:szCs w:val="20"/>
          <w:color w:val="auto"/>
        </w:rPr>
        <w:t>. This Agreement shall become effective as of the date first written above upon the execution and delivery hereof by the parties hereto.</w:t>
      </w:r>
    </w:p>
    <w:p>
      <w:pPr>
        <w:spacing w:after="0" w:line="172" w:lineRule="exact"/>
        <w:rPr>
          <w:rFonts w:ascii="Times New Roman" w:cs="Times New Roman" w:eastAsia="Times New Roman" w:hAnsi="Times New Roman"/>
          <w:sz w:val="20"/>
          <w:szCs w:val="20"/>
          <w:color w:val="auto"/>
        </w:rPr>
      </w:pPr>
    </w:p>
    <w:p>
      <w:pPr>
        <w:jc w:val="both"/>
        <w:ind w:firstLine="656"/>
        <w:spacing w:after="0" w:line="264" w:lineRule="auto"/>
        <w:tabs>
          <w:tab w:leader="none" w:pos="1035"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This Agreement may be terminated in the absolute discretion of the Representative,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6" w:lineRule="exact"/>
        <w:rPr>
          <w:rFonts w:ascii="Times New Roman" w:cs="Times New Roman" w:eastAsia="Times New Roman" w:hAnsi="Times New Roman"/>
          <w:sz w:val="19"/>
          <w:szCs w:val="19"/>
          <w:color w:val="auto"/>
        </w:rPr>
      </w:pPr>
    </w:p>
    <w:p>
      <w:pPr>
        <w:ind w:left="1100" w:hanging="444"/>
        <w:spacing w:after="0"/>
        <w:tabs>
          <w:tab w:leader="none" w:pos="11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  Defaulting Underwriter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50" w:lineRule="auto"/>
        <w:tabs>
          <w:tab w:leader="none" w:pos="117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2"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26 -</w:t>
      </w:r>
    </w:p>
    <w:p>
      <w:pPr>
        <w:sectPr>
          <w:pgSz w:w="11900" w:h="16838" w:orient="portrait"/>
          <w:cols w:equalWidth="0" w:num="1">
            <w:col w:w="11240"/>
          </w:cols>
          <w:pgMar w:left="320" w:top="1413" w:right="339" w:bottom="1440" w:gutter="0" w:footer="0" w:header="0"/>
        </w:sectPr>
      </w:pPr>
    </w:p>
    <w:bookmarkStart w:id="32" w:name="page33"/>
    <w:bookmarkEnd w:id="32"/>
    <w:p>
      <w:pPr>
        <w:ind w:right="20"/>
        <w:spacing w:after="0" w:line="283" w:lineRule="auto"/>
        <w:rPr>
          <w:sz w:val="20"/>
          <w:szCs w:val="20"/>
          <w:color w:val="auto"/>
        </w:rPr>
      </w:pPr>
      <w:r>
        <w:rPr>
          <w:rFonts w:ascii="Times New Roman" w:cs="Times New Roman" w:eastAsia="Times New Roman" w:hAnsi="Times New Roman"/>
          <w:sz w:val="20"/>
          <w:szCs w:val="20"/>
          <w:color w:val="auto"/>
        </w:rPr>
        <w:t>all purposes of this Agreement unless the context otherwise requires, any person not listed in Schedule 1 hereto that, pursuant to this Section 10, purchases Shares that a defaulting Underwriter agreed but failed to purchase.</w:t>
      </w:r>
    </w:p>
    <w:p>
      <w:pPr>
        <w:spacing w:after="0" w:line="146" w:lineRule="exact"/>
        <w:rPr>
          <w:sz w:val="20"/>
          <w:szCs w:val="20"/>
          <w:color w:val="auto"/>
        </w:rPr>
      </w:pPr>
    </w:p>
    <w:p>
      <w:pPr>
        <w:jc w:val="both"/>
        <w:ind w:firstLine="656"/>
        <w:spacing w:after="0" w:line="253" w:lineRule="auto"/>
        <w:tabs>
          <w:tab w:leader="none" w:pos="11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79" w:lineRule="exact"/>
        <w:rPr>
          <w:rFonts w:ascii="Times New Roman" w:cs="Times New Roman" w:eastAsia="Times New Roman" w:hAnsi="Times New Roman"/>
          <w:sz w:val="20"/>
          <w:szCs w:val="20"/>
          <w:color w:val="auto"/>
        </w:rPr>
      </w:pPr>
    </w:p>
    <w:p>
      <w:pPr>
        <w:jc w:val="both"/>
        <w:ind w:firstLine="656"/>
        <w:spacing w:after="0" w:line="252" w:lineRule="auto"/>
        <w:tabs>
          <w:tab w:leader="none" w:pos="113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(other than with respect to the defaulting Underwriter(s)) and except that the provisions of Section 7 hereof shall not terminate and shall remain in effect.</w:t>
      </w:r>
    </w:p>
    <w:p>
      <w:pPr>
        <w:spacing w:after="0" w:line="189" w:lineRule="exact"/>
        <w:rPr>
          <w:rFonts w:ascii="Times New Roman" w:cs="Times New Roman" w:eastAsia="Times New Roman" w:hAnsi="Times New Roman"/>
          <w:sz w:val="20"/>
          <w:szCs w:val="20"/>
          <w:color w:val="auto"/>
        </w:rPr>
      </w:pPr>
    </w:p>
    <w:p>
      <w:pPr>
        <w:ind w:firstLine="656"/>
        <w:spacing w:after="0" w:line="269" w:lineRule="auto"/>
        <w:tabs>
          <w:tab w:leader="none" w:pos="119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relieve a defaulting Underwriter of any liability it may have to the Company or any non-defaulting Underwriter for damages caused by its default.</w:t>
      </w:r>
    </w:p>
    <w:p>
      <w:pPr>
        <w:spacing w:after="0" w:line="169" w:lineRule="exact"/>
        <w:rPr>
          <w:sz w:val="20"/>
          <w:szCs w:val="20"/>
          <w:color w:val="auto"/>
        </w:rPr>
      </w:pPr>
    </w:p>
    <w:p>
      <w:pPr>
        <w:ind w:left="1100" w:hanging="444"/>
        <w:spacing w:after="0"/>
        <w:tabs>
          <w:tab w:leader="none" w:pos="11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Expenses</w:t>
      </w:r>
      <w:r>
        <w:rPr>
          <w:rFonts w:ascii="Times New Roman" w:cs="Times New Roman" w:eastAsia="Times New Roman" w:hAnsi="Times New Roman"/>
          <w:sz w:val="20"/>
          <w:szCs w:val="20"/>
          <w:i w:val="1"/>
          <w:iCs w:val="1"/>
          <w:color w:val="auto"/>
        </w:rPr>
        <w:t>.</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Whether or not the transactions contemplated by this Agreement are consummated or this Agreement is terminated, the Company will pay or cause to be paid reasonable, actual and accountable costs, fees and expenses incurred in connection with the transactions contemplated hereby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(viii) all expenses incurred by the Company in connection with any “road show” presentation to potential investors; (ix) all expenses and application fees related to the listing of the Shares on Nasdaq; and</w:t>
      </w:r>
    </w:p>
    <w:p>
      <w:pPr>
        <w:spacing w:after="0" w:line="4" w:lineRule="exact"/>
        <w:rPr>
          <w:sz w:val="20"/>
          <w:szCs w:val="20"/>
          <w:color w:val="auto"/>
        </w:rPr>
      </w:pPr>
    </w:p>
    <w:p>
      <w:pPr>
        <w:ind w:left="280" w:hanging="272"/>
        <w:spacing w:after="0"/>
        <w:tabs>
          <w:tab w:leader="none" w:pos="2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Representative’s accountable expenses and fees in connection with the offer, sale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6"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27 -</w:t>
      </w:r>
    </w:p>
    <w:p>
      <w:pPr>
        <w:sectPr>
          <w:pgSz w:w="11900" w:h="16838" w:orient="portrait"/>
          <w:cols w:equalWidth="0" w:num="1">
            <w:col w:w="11240"/>
          </w:cols>
          <w:pgMar w:left="320" w:top="1413" w:right="339" w:bottom="1440" w:gutter="0" w:footer="0" w:header="0"/>
        </w:sectPr>
      </w:pPr>
    </w:p>
    <w:bookmarkStart w:id="33" w:name="page34"/>
    <w:bookmarkEnd w:id="33"/>
    <w:p>
      <w:pPr>
        <w:spacing w:after="0" w:line="283" w:lineRule="auto"/>
        <w:rPr>
          <w:sz w:val="20"/>
          <w:szCs w:val="20"/>
          <w:color w:val="auto"/>
        </w:rPr>
      </w:pPr>
      <w:r>
        <w:rPr>
          <w:rFonts w:ascii="Times New Roman" w:cs="Times New Roman" w:eastAsia="Times New Roman" w:hAnsi="Times New Roman"/>
          <w:sz w:val="20"/>
          <w:szCs w:val="20"/>
          <w:color w:val="auto"/>
        </w:rPr>
        <w:t>marketing of the Shares, including reasonable fees and disbursements of the Underwriters’ legal counsel, but such reimbursement pursuant to this Section 11(x) will not exceed, without your prior written approval, $75,000 of total reimbursable expenses.</w:t>
      </w:r>
    </w:p>
    <w:p>
      <w:pPr>
        <w:spacing w:after="0" w:line="146" w:lineRule="exact"/>
        <w:rPr>
          <w:sz w:val="20"/>
          <w:szCs w:val="20"/>
          <w:color w:val="auto"/>
        </w:rPr>
      </w:pPr>
    </w:p>
    <w:p>
      <w:pPr>
        <w:jc w:val="both"/>
        <w:ind w:firstLine="656"/>
        <w:spacing w:after="0" w:line="276" w:lineRule="auto"/>
        <w:tabs>
          <w:tab w:leader="none" w:pos="1082"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 this Agreement is terminated pursuant to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fees and expenses of its counsel) reasonably and actually incurred by the Underwriters in connection with this Agreement and the offering contemplated hereby, not to exceed $75,000.</w:t>
      </w:r>
    </w:p>
    <w:p>
      <w:pPr>
        <w:spacing w:after="0" w:line="170" w:lineRule="exact"/>
        <w:rPr>
          <w:sz w:val="20"/>
          <w:szCs w:val="20"/>
          <w:color w:val="auto"/>
        </w:rPr>
      </w:pPr>
    </w:p>
    <w:p>
      <w:pPr>
        <w:jc w:val="both"/>
        <w:ind w:firstLine="656"/>
        <w:spacing w:after="0" w:line="253" w:lineRule="auto"/>
        <w:tabs>
          <w:tab w:leader="none" w:pos="11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Persons Entitled to Benefit of Agreement</w:t>
      </w:r>
      <w:r>
        <w:rPr>
          <w:rFonts w:ascii="Times New Roman" w:cs="Times New Roman" w:eastAsia="Times New Roman" w:hAnsi="Times New Roman"/>
          <w:sz w:val="20"/>
          <w:szCs w:val="20"/>
          <w:color w:val="auto"/>
        </w:rPr>
        <w:t>. This Agreement shall inure to the benefit of and be binding upon the parties hereto and their respective successors and the officers and directors and any controlling persons referred to herein, and the affiliates of the Underwriters referred to in Section 7 hereof. Nothing in this Agreement is intended or shall be construed to give any other person any legal or equitable right, remedy or claim under or in respect of this Agreement or any provision contained herein. No purchaser of Shares from the Underwriters shall be deemed to be a successor merely by reason of such purchase.</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7" w:lineRule="exact"/>
        <w:rPr>
          <w:rFonts w:ascii="Times New Roman" w:cs="Times New Roman" w:eastAsia="Times New Roman" w:hAnsi="Times New Roman"/>
          <w:sz w:val="20"/>
          <w:szCs w:val="20"/>
          <w:color w:val="auto"/>
        </w:rPr>
      </w:pPr>
    </w:p>
    <w:p>
      <w:pPr>
        <w:jc w:val="both"/>
        <w:ind w:firstLine="656"/>
        <w:spacing w:after="0" w:line="255" w:lineRule="auto"/>
        <w:tabs>
          <w:tab w:leader="none" w:pos="114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Defined Terms</w:t>
      </w:r>
      <w:r>
        <w:rPr>
          <w:rFonts w:ascii="Times New Roman" w:cs="Times New Roman" w:eastAsia="Times New Roman" w:hAnsi="Times New Roman"/>
          <w:sz w:val="20"/>
          <w:szCs w:val="20"/>
          <w:color w:val="auto"/>
        </w:rPr>
        <w:t>. For purposes of this Agreement, (a) except where otherwise expressly provided, the term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has the meaning set forth in Rule 405 under the Securities Act; (b) the term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day on which banks are permitted or required to be closed in New York City; (c) the term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has the meaning set forth in Rule 405 under the Securities Act; and (d) the term “</w:t>
      </w:r>
      <w:r>
        <w:rPr>
          <w:rFonts w:ascii="Times New Roman" w:cs="Times New Roman" w:eastAsia="Times New Roman" w:hAnsi="Times New Roman"/>
          <w:sz w:val="20"/>
          <w:szCs w:val="20"/>
          <w:b w:val="1"/>
          <w:bCs w:val="1"/>
          <w:color w:val="auto"/>
        </w:rPr>
        <w:t>significant subsidiary</w:t>
      </w:r>
      <w:r>
        <w:rPr>
          <w:rFonts w:ascii="Times New Roman" w:cs="Times New Roman" w:eastAsia="Times New Roman" w:hAnsi="Times New Roman"/>
          <w:sz w:val="20"/>
          <w:szCs w:val="20"/>
          <w:color w:val="auto"/>
        </w:rPr>
        <w:t>” has the meaning set forth in Rule 1-02 of Regulation S-X under the Exchange Act.</w:t>
      </w:r>
    </w:p>
    <w:p>
      <w:pPr>
        <w:spacing w:after="0" w:line="187" w:lineRule="exact"/>
        <w:rPr>
          <w:rFonts w:ascii="Times New Roman" w:cs="Times New Roman" w:eastAsia="Times New Roman" w:hAnsi="Times New Roman"/>
          <w:sz w:val="20"/>
          <w:szCs w:val="20"/>
          <w:color w:val="auto"/>
        </w:rPr>
      </w:pPr>
    </w:p>
    <w:p>
      <w:pPr>
        <w:jc w:val="both"/>
        <w:ind w:firstLine="656"/>
        <w:spacing w:after="0" w:line="258" w:lineRule="auto"/>
        <w:tabs>
          <w:tab w:leader="none" w:pos="114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USA Patriot Act</w:t>
      </w:r>
      <w:r>
        <w:rPr>
          <w:rFonts w:ascii="Times New Roman" w:cs="Times New Roman" w:eastAsia="Times New Roman" w:hAnsi="Times New Roman"/>
          <w:sz w:val="20"/>
          <w:szCs w:val="20"/>
          <w:color w:val="auto"/>
        </w:rPr>
        <w:t>. In accordance with the requirements of the USA Patriot Act (Title III of Pub. L. 107-56 (signed into law October 26, 2001)), the Underwriters are required to obtain, verify and record information that identifies their clients, including the Company, which information may include the name and address of its clients, as well as other information that will allow the Underwriters to properly identify their clients.</w:t>
      </w:r>
    </w:p>
    <w:p>
      <w:pPr>
        <w:spacing w:after="0" w:line="172"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firstLine="656"/>
        <w:spacing w:after="0" w:line="273" w:lineRule="auto"/>
        <w:tabs>
          <w:tab w:leader="none" w:pos="111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Notices. </w:t>
      </w:r>
      <w:r>
        <w:rPr>
          <w:rFonts w:ascii="Times New Roman" w:cs="Times New Roman" w:eastAsia="Times New Roman" w:hAnsi="Times New Roman"/>
          <w:sz w:val="20"/>
          <w:szCs w:val="20"/>
          <w:color w:val="auto"/>
        </w:rPr>
        <w:t>All notices and other communications hereunder shall be in writing and shall be deemed to have been duly given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mailed or transmitted and confirmed by any standard form of telecommunication. Notices to the parties as follows:</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If to the Underwriters, to the Representative at:</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Northland Securities, Inc.</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150 South Fifth Street, Suite 3300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- 28 -</w:t>
      </w:r>
    </w:p>
    <w:p>
      <w:pPr>
        <w:sectPr>
          <w:pgSz w:w="11900" w:h="16838" w:orient="portrait"/>
          <w:cols w:equalWidth="0" w:num="1">
            <w:col w:w="11240"/>
          </w:cols>
          <w:pgMar w:left="320" w:top="1413"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20"/>
          <w:szCs w:val="20"/>
          <w:color w:val="auto"/>
        </w:rPr>
        <w:t>Minneapolis, MN 55402</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Attention: David Levine</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email: dlevine@northlandcapitalmarkets.com</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With a copy to:</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Reed Smith LLP</w:t>
      </w:r>
    </w:p>
    <w:p>
      <w:pPr>
        <w:ind w:left="340"/>
        <w:spacing w:after="0" w:line="232" w:lineRule="auto"/>
        <w:rPr>
          <w:sz w:val="20"/>
          <w:szCs w:val="20"/>
          <w:color w:val="auto"/>
        </w:rPr>
      </w:pPr>
      <w:r>
        <w:rPr>
          <w:rFonts w:ascii="Times New Roman" w:cs="Times New Roman" w:eastAsia="Times New Roman" w:hAnsi="Times New Roman"/>
          <w:sz w:val="20"/>
          <w:szCs w:val="20"/>
          <w:color w:val="auto"/>
        </w:rPr>
        <w:t>599 Lexington Avenue, 22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Floor</w:t>
      </w:r>
    </w:p>
    <w:p>
      <w:pPr>
        <w:ind w:left="340"/>
        <w:spacing w:after="0"/>
        <w:rPr>
          <w:sz w:val="20"/>
          <w:szCs w:val="20"/>
          <w:color w:val="auto"/>
        </w:rPr>
      </w:pPr>
      <w:r>
        <w:rPr>
          <w:rFonts w:ascii="Times New Roman" w:cs="Times New Roman" w:eastAsia="Times New Roman" w:hAnsi="Times New Roman"/>
          <w:sz w:val="20"/>
          <w:szCs w:val="20"/>
          <w:color w:val="auto"/>
        </w:rPr>
        <w:t>New York, NY 10022</w:t>
      </w:r>
    </w:p>
    <w:p>
      <w:pPr>
        <w:ind w:left="340"/>
        <w:spacing w:after="0"/>
        <w:rPr>
          <w:sz w:val="20"/>
          <w:szCs w:val="20"/>
          <w:color w:val="auto"/>
        </w:rPr>
      </w:pPr>
      <w:r>
        <w:rPr>
          <w:rFonts w:ascii="Times New Roman" w:cs="Times New Roman" w:eastAsia="Times New Roman" w:hAnsi="Times New Roman"/>
          <w:sz w:val="20"/>
          <w:szCs w:val="20"/>
          <w:color w:val="auto"/>
        </w:rPr>
        <w:t>Attention: Anthony Marsico</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E-mail: AMarsico@reedsmith.com</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Blaize Holdings, Inc.</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4659 Golden Foothill Parkway, Suite 206</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El Dorado Hills, CA 95762</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Attention: Harminder Sehmi</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Email: Harminder.Sehmi@blaize.com</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With a copy to:</w:t>
      </w: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Faegre Drinker Biddle &amp; Reath LLP</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2200 Wells Fargo Center</w:t>
      </w:r>
    </w:p>
    <w:p>
      <w:pPr>
        <w:ind w:left="340"/>
        <w:spacing w:after="0" w:line="202" w:lineRule="auto"/>
        <w:rPr>
          <w:sz w:val="20"/>
          <w:szCs w:val="20"/>
          <w:color w:val="auto"/>
        </w:rPr>
      </w:pPr>
      <w:r>
        <w:rPr>
          <w:rFonts w:ascii="Times New Roman" w:cs="Times New Roman" w:eastAsia="Times New Roman" w:hAnsi="Times New Roman"/>
          <w:sz w:val="20"/>
          <w:szCs w:val="20"/>
          <w:color w:val="auto"/>
        </w:rPr>
        <w:t>90 S.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Street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Minneapolis, MN 55402</w:t>
      </w:r>
    </w:p>
    <w:p>
      <w:pPr>
        <w:spacing w:after="0" w:line="6" w:lineRule="exact"/>
        <w:rPr>
          <w:sz w:val="20"/>
          <w:szCs w:val="20"/>
          <w:color w:val="auto"/>
        </w:rPr>
      </w:pPr>
    </w:p>
    <w:p>
      <w:pPr>
        <w:ind w:left="340"/>
        <w:spacing w:after="0"/>
        <w:tabs>
          <w:tab w:leader="none" w:pos="980" w:val="left"/>
        </w:tabs>
        <w:rPr>
          <w:sz w:val="20"/>
          <w:szCs w:val="20"/>
          <w:color w:val="auto"/>
        </w:rPr>
      </w:pPr>
      <w:r>
        <w:rPr>
          <w:rFonts w:ascii="Times New Roman" w:cs="Times New Roman" w:eastAsia="Times New Roman" w:hAnsi="Times New Roman"/>
          <w:sz w:val="20"/>
          <w:szCs w:val="20"/>
          <w:color w:val="auto"/>
        </w:rPr>
        <w:t>Attn:</w:t>
        <w:tab/>
        <w:t>Jonathan R. Zimmerman</w:t>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Charles D. Lange</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Email: Jon.Zimmerman@faegredrinker.com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Charles.Lange@faegredrinker.com</w:t>
      </w:r>
    </w:p>
    <w:p>
      <w:pPr>
        <w:spacing w:after="0" w:line="223" w:lineRule="exact"/>
        <w:rPr>
          <w:sz w:val="20"/>
          <w:szCs w:val="20"/>
          <w:color w:val="auto"/>
        </w:rPr>
      </w:pPr>
    </w:p>
    <w:p>
      <w:pPr>
        <w:ind w:left="-400" w:right="20" w:firstLine="656"/>
        <w:spacing w:after="0" w:line="287" w:lineRule="auto"/>
        <w:tabs>
          <w:tab w:leader="none" w:pos="75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Governing Law. </w:t>
      </w:r>
      <w:r>
        <w:rPr>
          <w:rFonts w:ascii="Times New Roman" w:cs="Times New Roman" w:eastAsia="Times New Roman" w:hAnsi="Times New Roman"/>
          <w:sz w:val="20"/>
          <w:szCs w:val="20"/>
          <w:color w:val="auto"/>
        </w:rPr>
        <w:t>This Agreement and any claim, controversy or dispute arising under or related to this Agreement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governed by and construed in accordance with the laws of the State of New York.</w:t>
      </w:r>
    </w:p>
    <w:p>
      <w:pPr>
        <w:spacing w:after="0" w:line="138" w:lineRule="exact"/>
        <w:rPr>
          <w:rFonts w:ascii="Times New Roman" w:cs="Times New Roman" w:eastAsia="Times New Roman" w:hAnsi="Times New Roman"/>
          <w:sz w:val="20"/>
          <w:szCs w:val="20"/>
          <w:color w:val="auto"/>
        </w:rPr>
      </w:pPr>
    </w:p>
    <w:p>
      <w:pPr>
        <w:jc w:val="both"/>
        <w:ind w:left="-400" w:firstLine="656"/>
        <w:spacing w:after="0" w:line="254" w:lineRule="auto"/>
        <w:tabs>
          <w:tab w:leader="none" w:pos="70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Submission to Jurisdiction</w:t>
      </w:r>
      <w:r>
        <w:rPr>
          <w:rFonts w:ascii="Times New Roman" w:cs="Times New Roman" w:eastAsia="Times New Roman" w:hAnsi="Times New Roman"/>
          <w:sz w:val="20"/>
          <w:szCs w:val="20"/>
          <w:color w:val="auto"/>
        </w:rPr>
        <w:t>. The Company hereby submits to the exclusive jurisdiction of the U.S. federal and New York state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186" w:lineRule="exact"/>
        <w:rPr>
          <w:rFonts w:ascii="Times New Roman" w:cs="Times New Roman" w:eastAsia="Times New Roman" w:hAnsi="Times New Roman"/>
          <w:sz w:val="20"/>
          <w:szCs w:val="20"/>
          <w:color w:val="auto"/>
        </w:rPr>
      </w:pPr>
    </w:p>
    <w:p>
      <w:pPr>
        <w:ind w:left="-400" w:firstLine="656"/>
        <w:spacing w:after="0" w:line="287" w:lineRule="auto"/>
        <w:tabs>
          <w:tab w:leader="none" w:pos="70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Waiver of Jury Trial. </w:t>
      </w:r>
      <w:r>
        <w:rPr>
          <w:rFonts w:ascii="Times New Roman" w:cs="Times New Roman" w:eastAsia="Times New Roman" w:hAnsi="Times New Roman"/>
          <w:sz w:val="20"/>
          <w:szCs w:val="20"/>
          <w:color w:val="auto"/>
        </w:rPr>
        <w:t>Each of the parties hereto hereby waives any right to trial by jury in any suit or proceeding arising out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relating to this Agreement.</w:t>
      </w:r>
    </w:p>
    <w:p>
      <w:pPr>
        <w:spacing w:after="0" w:line="138" w:lineRule="exact"/>
        <w:rPr>
          <w:rFonts w:ascii="Times New Roman" w:cs="Times New Roman" w:eastAsia="Times New Roman" w:hAnsi="Times New Roman"/>
          <w:sz w:val="20"/>
          <w:szCs w:val="20"/>
          <w:color w:val="auto"/>
        </w:rPr>
      </w:pPr>
    </w:p>
    <w:p>
      <w:pPr>
        <w:ind w:left="680" w:hanging="424"/>
        <w:spacing w:after="0"/>
        <w:tabs>
          <w:tab w:leader="none" w:pos="6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Recognition of the U.S. Special Resolution Regimes</w:t>
      </w:r>
      <w:r>
        <w:rPr>
          <w:rFonts w:ascii="Times New Roman" w:cs="Times New Roman" w:eastAsia="Times New Roman" w:hAnsi="Times New Roman"/>
          <w:sz w:val="20"/>
          <w:szCs w:val="20"/>
          <w:color w:val="auto"/>
        </w:rPr>
        <w:t>.</w:t>
      </w:r>
    </w:p>
    <w:p>
      <w:pPr>
        <w:sectPr>
          <w:pgSz w:w="11900" w:h="16838" w:orient="portrait"/>
          <w:cols w:equalWidth="0" w:num="1">
            <w:col w:w="10840"/>
          </w:cols>
          <w:pgMar w:left="7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- 29 -</w:t>
      </w:r>
    </w:p>
    <w:p>
      <w:pPr>
        <w:sectPr>
          <w:pgSz w:w="11900" w:h="16838" w:orient="portrait"/>
          <w:cols w:equalWidth="0" w:num="1">
            <w:col w:w="10840"/>
          </w:cols>
          <w:pgMar w:left="720" w:top="1413" w:right="339" w:bottom="1440" w:gutter="0" w:footer="0" w:header="0"/>
          <w:type w:val="continuous"/>
        </w:sectPr>
      </w:pPr>
    </w:p>
    <w:bookmarkStart w:id="35" w:name="page36"/>
    <w:bookmarkEnd w:id="35"/>
    <w:p>
      <w:pPr>
        <w:jc w:val="both"/>
        <w:ind w:left="4" w:firstLine="644"/>
        <w:spacing w:after="0" w:line="258" w:lineRule="auto"/>
        <w:tabs>
          <w:tab w:leader="none" w:pos="93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57" w:lineRule="auto"/>
        <w:tabs>
          <w:tab w:leader="none" w:pos="95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Underwriter is a Covered Entity and becomes subject, or a BHC Act Affiliate of such Underwriter becomes subject, to a proceeding under a U.S. Special Resolution Regime, Default Rights under this Agreement that may be exercised against such Underwriter is permitted to be exercised to no greater extent than such Default Rights could be exercised under the U.S. Special Resolution Regime if this Agreement were governed by the laws of the United States or a state of the United States.</w:t>
      </w:r>
    </w:p>
    <w:p>
      <w:pPr>
        <w:spacing w:after="0" w:line="17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As used in this Section 15(e):</w:t>
      </w:r>
    </w:p>
    <w:p>
      <w:pPr>
        <w:spacing w:after="0" w:line="225" w:lineRule="exact"/>
        <w:rPr>
          <w:sz w:val="20"/>
          <w:szCs w:val="20"/>
          <w:color w:val="auto"/>
        </w:rPr>
      </w:pPr>
    </w:p>
    <w:p>
      <w:pPr>
        <w:ind w:left="644"/>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BHC Act Affiliate</w:t>
      </w:r>
      <w:r>
        <w:rPr>
          <w:rFonts w:ascii="Times New Roman" w:cs="Times New Roman" w:eastAsia="Times New Roman" w:hAnsi="Times New Roman"/>
          <w:sz w:val="20"/>
          <w:szCs w:val="20"/>
          <w:color w:val="auto"/>
        </w:rPr>
        <w:t>” has the meaning assigned to the term “affiliate” in, and shall be interpreted in accordance with, 12 U.S.C. § 1841(k).</w:t>
      </w:r>
    </w:p>
    <w:p>
      <w:pPr>
        <w:spacing w:after="0" w:line="13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Entity</w:t>
      </w:r>
      <w:r>
        <w:rPr>
          <w:rFonts w:ascii="Times New Roman" w:cs="Times New Roman" w:eastAsia="Times New Roman" w:hAnsi="Times New Roman"/>
          <w:sz w:val="20"/>
          <w:szCs w:val="20"/>
          <w:color w:val="auto"/>
        </w:rPr>
        <w:t>” means any of the following:</w:t>
      </w:r>
    </w:p>
    <w:p>
      <w:pPr>
        <w:spacing w:after="0" w:line="233" w:lineRule="exact"/>
        <w:rPr>
          <w:sz w:val="20"/>
          <w:szCs w:val="20"/>
          <w:color w:val="auto"/>
        </w:rPr>
      </w:pPr>
    </w:p>
    <w:p>
      <w:pPr>
        <w:ind w:left="1204" w:hanging="232"/>
        <w:spacing w:after="0"/>
        <w:tabs>
          <w:tab w:leader="none" w:pos="120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264" w:hanging="292"/>
        <w:spacing w:after="0"/>
        <w:tabs>
          <w:tab w:leader="none" w:pos="126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20"/>
          <w:szCs w:val="20"/>
          <w:color w:val="auto"/>
        </w:rPr>
      </w:pPr>
    </w:p>
    <w:p>
      <w:pPr>
        <w:ind w:left="1324" w:hanging="352"/>
        <w:spacing w:after="0"/>
        <w:tabs>
          <w:tab w:leader="none" w:pos="132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25" w:lineRule="exact"/>
        <w:rPr>
          <w:sz w:val="20"/>
          <w:szCs w:val="20"/>
          <w:color w:val="auto"/>
        </w:rPr>
      </w:pPr>
    </w:p>
    <w:p>
      <w:pPr>
        <w:jc w:val="both"/>
        <w:ind w:left="644"/>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65" w:lineRule="exact"/>
        <w:rPr>
          <w:sz w:val="20"/>
          <w:szCs w:val="20"/>
          <w:color w:val="auto"/>
        </w:rPr>
      </w:pPr>
    </w:p>
    <w:p>
      <w:pPr>
        <w:jc w:val="both"/>
        <w:ind w:left="644"/>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Special Resolution Regime</w:t>
      </w:r>
      <w:r>
        <w:rPr>
          <w:rFonts w:ascii="Times New Roman" w:cs="Times New Roman" w:eastAsia="Times New Roman" w:hAnsi="Times New Roman"/>
          <w:sz w:val="20"/>
          <w:szCs w:val="20"/>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jc w:val="both"/>
        <w:ind w:left="-656" w:firstLine="656"/>
        <w:spacing w:after="0" w:line="258" w:lineRule="auto"/>
        <w:tabs>
          <w:tab w:leader="none" w:pos="41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This Agreement may be signed in counterparts (which may include counterparts delivered by any standard form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telecommunication), each of which shall be an original and all of which together shall constitute one and the same instrument.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67" w:lineRule="exact"/>
        <w:rPr>
          <w:rFonts w:ascii="Times New Roman" w:cs="Times New Roman" w:eastAsia="Times New Roman" w:hAnsi="Times New Roman"/>
          <w:sz w:val="20"/>
          <w:szCs w:val="20"/>
          <w:color w:val="auto"/>
        </w:rPr>
      </w:pPr>
    </w:p>
    <w:p>
      <w:pPr>
        <w:ind w:left="-656" w:firstLine="656"/>
        <w:spacing w:after="0" w:line="287" w:lineRule="auto"/>
        <w:tabs>
          <w:tab w:leader="none" w:pos="48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Amendments or Waivers</w:t>
      </w:r>
      <w:r>
        <w:rPr>
          <w:rFonts w:ascii="Times New Roman" w:cs="Times New Roman" w:eastAsia="Times New Roman" w:hAnsi="Times New Roman"/>
          <w:sz w:val="20"/>
          <w:szCs w:val="20"/>
          <w:color w:val="auto"/>
        </w:rPr>
        <w:t>. No amendment or waiver of any provision of this Agreement, nor any consent or approval to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departure therefrom, shall in any event be effective unless the same shall be in writing and signed by the parties hereto.</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ind w:left="4864" w:hanging="110"/>
        <w:spacing w:after="0"/>
        <w:tabs>
          <w:tab w:leader="none" w:pos="486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30 -</w:t>
      </w:r>
    </w:p>
    <w:p>
      <w:pPr>
        <w:sectPr>
          <w:pgSz w:w="11900" w:h="16838" w:orient="portrait"/>
          <w:cols w:equalWidth="0" w:num="1">
            <w:col w:w="10584"/>
          </w:cols>
          <w:pgMar w:left="976" w:top="1413" w:right="339" w:bottom="1440" w:gutter="0" w:footer="0" w:header="0"/>
        </w:sectPr>
      </w:pPr>
    </w:p>
    <w:bookmarkStart w:id="36" w:name="page37"/>
    <w:bookmarkEnd w:id="36"/>
    <w:p>
      <w:pPr>
        <w:ind w:left="-656" w:firstLine="656"/>
        <w:spacing w:after="0" w:line="287" w:lineRule="auto"/>
        <w:tabs>
          <w:tab w:leader="none" w:pos="4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Headings</w:t>
      </w:r>
      <w:r>
        <w:rPr>
          <w:rFonts w:ascii="Times New Roman" w:cs="Times New Roman" w:eastAsia="Times New Roman" w:hAnsi="Times New Roman"/>
          <w:sz w:val="20"/>
          <w:szCs w:val="20"/>
          <w:color w:val="auto"/>
        </w:rPr>
        <w:t>. The headings herein are included for convenience of reference only and are not intended to be part of, or to affect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meaning or interpretation of, this Agreement.</w:t>
      </w:r>
    </w:p>
    <w:p>
      <w:pPr>
        <w:spacing w:after="0" w:line="138" w:lineRule="exact"/>
        <w:rPr>
          <w:rFonts w:ascii="Times New Roman" w:cs="Times New Roman" w:eastAsia="Times New Roman" w:hAnsi="Times New Roman"/>
          <w:sz w:val="20"/>
          <w:szCs w:val="20"/>
          <w:color w:val="auto"/>
        </w:rPr>
      </w:pPr>
    </w:p>
    <w:p>
      <w:pPr>
        <w:ind w:left="-656" w:firstLine="656"/>
        <w:spacing w:after="0" w:line="287" w:lineRule="auto"/>
        <w:tabs>
          <w:tab w:leader="none" w:pos="4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Partial Unenforceability</w:t>
      </w:r>
      <w:r>
        <w:rPr>
          <w:rFonts w:ascii="Times New Roman" w:cs="Times New Roman" w:eastAsia="Times New Roman" w:hAnsi="Times New Roman"/>
          <w:sz w:val="20"/>
          <w:szCs w:val="20"/>
          <w:color w:val="auto"/>
        </w:rPr>
        <w:t>. The invalidity or unenforceability of any Section, paragraph or provision of this Agreement shall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affect the validity or enforceability of any other Section, paragraph, or provision hereof.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ind w:left="4864" w:hanging="110"/>
        <w:spacing w:after="0"/>
        <w:tabs>
          <w:tab w:leader="none" w:pos="486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31 -</w:t>
      </w:r>
    </w:p>
    <w:p>
      <w:pPr>
        <w:sectPr>
          <w:pgSz w:w="11900" w:h="16838" w:orient="portrait"/>
          <w:cols w:equalWidth="0" w:num="1">
            <w:col w:w="10584"/>
          </w:cols>
          <w:pgMar w:left="976" w:top="1409" w:right="339" w:bottom="1440" w:gutter="0" w:footer="0" w:header="0"/>
        </w:sectPr>
      </w:pPr>
    </w:p>
    <w:bookmarkStart w:id="37" w:name="page38"/>
    <w:bookmarkEnd w:id="37"/>
    <w:p>
      <w:pPr>
        <w:ind w:firstLine="648"/>
        <w:spacing w:after="0" w:line="283" w:lineRule="auto"/>
        <w:rPr>
          <w:sz w:val="20"/>
          <w:szCs w:val="20"/>
          <w:color w:val="auto"/>
        </w:rPr>
      </w:pPr>
      <w:r>
        <w:rPr>
          <w:rFonts w:ascii="Times New Roman" w:cs="Times New Roman" w:eastAsia="Times New Roman" w:hAnsi="Times New Roman"/>
          <w:sz w:val="20"/>
          <w:szCs w:val="20"/>
          <w:color w:val="auto"/>
        </w:rPr>
        <w:t>If the foregoing is in accordance with your understanding, please indicate your acceptance of this Agreement by signing in the space provided below.</w:t>
      </w:r>
    </w:p>
    <w:p>
      <w:pPr>
        <w:spacing w:after="0" w:line="14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Blaize Holdings, Inc.</w:t>
      </w:r>
    </w:p>
    <w:p>
      <w:pPr>
        <w:spacing w:after="0" w:line="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Harminder Sehmi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-24765</wp:posOffset>
            </wp:positionV>
            <wp:extent cx="1172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2210"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0"/>
          <w:szCs w:val="20"/>
          <w:color w:val="auto"/>
        </w:rPr>
        <w:t>Name: Harminder Sehmi</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40"/>
          </w:cols>
          <w:pgMar w:left="320" w:top="14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9"/>
          <w:szCs w:val="19"/>
          <w:color w:val="auto"/>
        </w:rPr>
        <w:t>Accepted: As of the date first written above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NORTHLAND SECURITIES,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itself and on behalf of the several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Underwriters listed in Schedule 1 hereto</w:t>
      </w:r>
    </w:p>
    <w:p>
      <w:pPr>
        <w:spacing w:after="0" w:line="200" w:lineRule="exact"/>
        <w:rPr>
          <w:sz w:val="20"/>
          <w:szCs w:val="20"/>
          <w:color w:val="auto"/>
        </w:rPr>
      </w:pPr>
    </w:p>
    <w:p>
      <w:pPr>
        <w:spacing w:after="0" w:line="2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962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Levine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Head of Investment Banking</w:t>
      </w:r>
    </w:p>
    <w:p>
      <w:pPr>
        <w:sectPr>
          <w:pgSz w:w="11900" w:h="16838" w:orient="portrait"/>
          <w:cols w:equalWidth="0" w:num="1">
            <w:col w:w="10139"/>
          </w:cols>
          <w:pgMar w:left="320" w:top="1413"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color w:val="auto"/>
        </w:rPr>
        <w:t>Schedule 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w w:val="98"/>
              </w:rPr>
              <w:t>Underwriter</w:t>
            </w:r>
          </w:p>
        </w:tc>
        <w:tc>
          <w:tcPr>
            <w:tcW w:w="2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Shares</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Northland Securities, Inc.</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15,135,135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Benchmark Company, LLC</w:t>
            </w: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3,783,783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20" w:type="dxa"/>
            <w:vAlign w:val="bottom"/>
            <w:vMerge w:val="restart"/>
          </w:tcPr>
          <w:p>
            <w:pPr>
              <w:ind w:left="10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20"/>
                <w:szCs w:val="20"/>
                <w:b w:val="1"/>
                <w:bCs w:val="1"/>
                <w:color w:val="auto"/>
                <w:w w:val="97"/>
              </w:rPr>
              <w:t>18,918,918.</w:t>
            </w:r>
            <w:r>
              <w:rPr>
                <w:rFonts w:ascii="Times New Roman" w:cs="Times New Roman" w:eastAsia="Times New Roman" w:hAnsi="Times New Roman"/>
                <w:sz w:val="20"/>
                <w:szCs w:val="20"/>
                <w:b w:val="1"/>
                <w:bCs w:val="1"/>
                <w:u w:val="single" w:color="auto"/>
                <w:color w:val="auto"/>
                <w:w w:val="97"/>
              </w:rPr>
              <w:t>00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60"/>
          </w:cols>
          <w:pgMar w:left="1200" w:top="1413" w:right="339" w:bottom="1440" w:gutter="0" w:footer="0" w:header="0"/>
        </w:sectPr>
      </w:pPr>
    </w:p>
    <w:bookmarkStart w:id="40" w:name="page41"/>
    <w:bookmarkEnd w:id="40"/>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Annex A</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Pricing Disclosure Package</w:t>
      </w:r>
    </w:p>
    <w:p>
      <w:pPr>
        <w:spacing w:after="0" w:line="220"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Amendment No. 1 to Common Stock Purchase Warrants, dated as of May 5, 2026, by and between Blaize Holdings, Inc., Polar Multi-Strategy Master Fund and Polar Long/Short Master Fund..</w:t>
      </w:r>
    </w:p>
    <w:p>
      <w:pPr>
        <w:spacing w:after="0" w:line="142" w:lineRule="exact"/>
        <w:rPr>
          <w:sz w:val="20"/>
          <w:szCs w:val="20"/>
          <w:color w:val="auto"/>
        </w:rPr>
      </w:pPr>
    </w:p>
    <w:p>
      <w:pPr>
        <w:ind w:left="660" w:right="6400" w:hanging="652"/>
        <w:spacing w:after="0" w:line="506" w:lineRule="auto"/>
        <w:tabs>
          <w:tab w:leader="none" w:pos="358"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Pricing Information Provided Orally by Underwriter </w:t>
      </w:r>
      <w:r>
        <w:rPr>
          <w:rFonts w:ascii="Times New Roman" w:cs="Times New Roman" w:eastAsia="Times New Roman" w:hAnsi="Times New Roman"/>
          <w:sz w:val="19"/>
          <w:szCs w:val="19"/>
          <w:color w:val="auto"/>
        </w:rPr>
        <w:t>Underwritten Shares: 18,918,918 shares</w:t>
      </w: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Option Shares: 2,837,837 shares</w:t>
      </w:r>
    </w:p>
    <w:p>
      <w:pPr>
        <w:spacing w:after="0" w:line="215"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Public Offering Price Per Share: $1.85</w:t>
      </w:r>
    </w:p>
    <w:p>
      <w:pPr>
        <w:spacing w:after="0" w:line="225" w:lineRule="exact"/>
        <w:rPr>
          <w:rFonts w:ascii="Times New Roman" w:cs="Times New Roman" w:eastAsia="Times New Roman" w:hAnsi="Times New Roman"/>
          <w:sz w:val="19"/>
          <w:szCs w:val="19"/>
          <w:color w:val="auto"/>
        </w:rPr>
      </w:pPr>
    </w:p>
    <w:p>
      <w:pPr>
        <w:ind w:left="400" w:hanging="392"/>
        <w:spacing w:after="0"/>
        <w:tabs>
          <w:tab w:leader="none" w:pos="4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Issuer Free Writing Prospectus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1240"/>
          </w:cols>
          <w:pgMar w:left="320" w:top="14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color w:val="auto"/>
        </w:rPr>
        <w:t>Annex 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Written Testing-the-Waters Communications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1240"/>
          </w:cols>
          <w:pgMar w:left="320" w:top="141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Annex 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Blaize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Pricing Term Sheet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3492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20"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Faegre Drinker Biddle &amp; Reath LLP </w:t>
      </w:r>
      <w:r>
        <w:rPr>
          <w:rFonts w:ascii="Times New Roman" w:cs="Times New Roman" w:eastAsia="Times New Roman" w:hAnsi="Times New Roman"/>
          <w:sz w:val="18"/>
          <w:szCs w:val="18"/>
          <w:color w:val="auto"/>
        </w:rPr>
        <w:t>2200 Wells Fargo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-546100</wp:posOffset>
            </wp:positionV>
            <wp:extent cx="534924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83210"/>
                    </a:xfrm>
                    <a:prstGeom prst="rect">
                      <a:avLst/>
                    </a:prstGeom>
                    <a:noFill/>
                  </pic:spPr>
                </pic:pic>
              </a:graphicData>
            </a:graphic>
          </wp:anchor>
        </w:drawing>
      </w:r>
    </w:p>
    <w:p>
      <w:pPr>
        <w:ind w:left="9520"/>
        <w:spacing w:after="0"/>
        <w:rPr>
          <w:sz w:val="20"/>
          <w:szCs w:val="20"/>
          <w:color w:val="auto"/>
        </w:rPr>
      </w:pPr>
      <w:r>
        <w:rPr>
          <w:rFonts w:ascii="Times New Roman" w:cs="Times New Roman" w:eastAsia="Times New Roman" w:hAnsi="Times New Roman"/>
          <w:sz w:val="18"/>
          <w:szCs w:val="18"/>
          <w:color w:val="auto"/>
        </w:rPr>
        <w:t>90 S. Seventh Street</w:t>
      </w:r>
    </w:p>
    <w:p>
      <w:pPr>
        <w:spacing w:after="0" w:line="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color w:val="auto"/>
        </w:rPr>
        <w:t>Minneapolis,</w:t>
      </w:r>
    </w:p>
    <w:p>
      <w:pPr>
        <w:spacing w:after="0" w:line="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color w:val="auto"/>
        </w:rPr>
        <w:t>Minnesota 55402</w:t>
      </w:r>
    </w:p>
    <w:p>
      <w:pPr>
        <w:spacing w:after="0" w:line="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color w:val="auto"/>
        </w:rPr>
        <w:t>+1 612 766 7000 main</w:t>
      </w:r>
    </w:p>
    <w:p>
      <w:pPr>
        <w:spacing w:after="0" w:line="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color w:val="auto"/>
        </w:rPr>
        <w:t>+1 612 766 1600 fax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4659 Golden Foothill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Dorado Hills, California 95762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counsel to Blaize Holdings, Inc., a Delaware corporation (the “Company”), in connection with the public offering by the Company of 18,918,918 shares (the “Firm Shares”) of common stock, par value $0.0001 per share (the “Common Stock”) and up to 2,837,837 shares of Common Stock (the “Option Shares” and together with the Firm Shares, the “Shares”) subject to an option to purchase additional shares granted to the underwriters of the offering. The Shares are being offered pursuant to the Registration Statement on Form S-3 (Registration No. 333-292986) (the “Registration Statement”) filed by the Company with the Securities and Exchange Commission (the “Commission”) on January 27, 2026 under the Securities Act of 1933, as amended (the “Securities Act”), the base prospectus, dated January 27, 2026, included in the Registration Statement at the time it originally became effective (the “Base Prospectus”), the preliminary prospectus supplement, dated May 5, 2026, filed with the Commission pursuant to Rule 424(b) under the Securities Act (together with the Base Prospectus, the “Preliminary Prospectus Supplement”), and the final prospectus supplement, dated May 6, 2026, filed with the Commission pursuant to Rule 424(b) under the Securities Act (together with the Base Prospectus, the “Prospectus”). The Shares are being sold pursuant to an underwriting agreement, dated as of May 6, 2026, by and among Northland Securities, Inc., as the sole underwriter, and the Company (the “Underwriting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rendering the opinions expressed herein, we have examined or are otherwise familiar with the Third Amended and Restated Certificate of Incorporation (the “Certificate of Incorporation”) and the Amended and Restated ByLaws (the “ByLaws”) of the Company, each as amended to the date hereof, and we have reviewed originals, or copies certified or otherwise authenticated to our satisfaction, of (i) the Registration Statement, (ii) the Preliminary Prospectus Supplement, (iii) the Prospectus, (iv) the Underwriting Agreement, and (v) the corporate actions taken by the Company in connection with the authorization of the Underwriting Agreement and the Shares. We have also examined a certificate of the Corporate Secretary of the Company dated the date hereof (the “Certificate”) and originals, or copies certified or otherwise authenticated to our satisfaction, of such corporate and other records, agreements, instruments, certificates of public officials and representatives of the Company, and other documents as we have deemed necessary as a basis for the opinion hereinafter expressed and have made such examination of statutes and decisions and reviewed such questions of law as we have considered relevant and necessary in connection with the opinion hereinafter expressed.</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and subject to the foregoing and to the other assumptions, qualifications and limitations set forth herein, we are of the opinion that the issuance and sale of the Shares have been duly authorized by all corporate action on the part of the Company, and (i) when the Shares have been issued by the Company against payment of the agreed-upon consideration therefor in accordance with the provisions of the Underwriting Agreement, and (ii) upon the due registration of issuance and constructive delivery through book entry of such Shares by the transfer agent and registrar therefor in the name or on behalf of the purchasers thereof, then, upon the happening of such events, such Shares will be validly issued, fully paid and non-assessable.</w:t>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May 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to facts material to this opinion letter, we have relied upon certificates, statements or representations of public officials, of officers and representatives of the Company (including the Certificate) and of others as to the accuracy of such factual matters, in each case, without any independent verification thereof or other investigation. We have assumed, without investigation, the following: (a) the genuineness of signatures, including electronic signatures, appearing upon agreements, instruments, certifications, documents, and proceedings submitted to us for review, (b) that each document submitted to us for review is accurate and complete, each such document that is an original is authentic and each such document that is a copy conforms to an authentic original, (c) the legal capacity of natural persons who are involved on behalf of the Company to enter into and perform the referenced instrument or agreement or to carry out their role in the transactions contemplated thereby, (d) the truth, accuracy and completeness of the information, representations and warranties contained in the agreements, instruments, certificates, documents and records we have reviewed, (e) the absence of any undisclosed modifications to the agreements and instruments reviewed by us, and (f) the Company will comply with all applicable notice requirements regarding uncertificated shares provided in the General Corporation Law of the State of Delaware.</w:t>
      </w:r>
    </w:p>
    <w:p>
      <w:pPr>
        <w:spacing w:after="0" w:line="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Our opinion set forth herein is limited to the General Corporation Law of the State of Delaware, and we express no opinion as to the effect of any other laws.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opinion letter is rendered as of the date first written above, and we assume no responsibility for updating this opinion letter or the opinion set forth herein to take into account any event, action, interpretation or change in law or facts occurring subsequent to the date hereof that may affect the validity of such opinion. This opinion letter is expressly limited to the matters set forth above, and we render no opinion, whether by implication or otherwise, as to any other matters relating to the Company or the Shares.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Current Report on Form 8-K of the Company filed with the Commission on the date hereof and thereby incorporated by reference into the Registration Statement and to being named in the Prospectus under the caption “Legal Matters” with respect to the matters stated therein without implying or admitting that we are “experts” within the meaning of the Securities Act or the rules and regulations of the Commission issued thereunder with respect to any part of the Registration Statement, including this opinion letter.</w:t>
      </w:r>
    </w:p>
    <w:p>
      <w:pPr>
        <w:spacing w:after="0" w:line="1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Faegre Drinker Biddle &amp; Reath LLP</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FAEGRE DRINKER BIDDLE &amp; REATH LLP</w:t>
      </w:r>
    </w:p>
    <w:p>
      <w:pPr>
        <w:sectPr>
          <w:pgSz w:w="11900" w:h="16838" w:orient="portrait"/>
          <w:cols w:equalWidth="0" w:num="1">
            <w:col w:w="11240"/>
          </w:cols>
          <w:pgMar w:left="320" w:top="121" w:right="339" w:bottom="1440" w:gutter="0" w:footer="0" w:header="0"/>
        </w:sectPr>
      </w:pPr>
    </w:p>
    <w:bookmarkStart w:id="45" w:name="page46"/>
    <w:bookmarkEnd w:id="4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7"/>
          <w:szCs w:val="17"/>
          <w:color w:val="auto"/>
        </w:rPr>
        <w:t>___,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in Schedule 1 to the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below</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Blaize Holdings, Inc.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 of the several underwriters (the “Representative”), propose to enter into an underwriting agreement (the “Underwriting Agreement”) with Blaize Holdings, Inc., a Delaware corporation (the “Company”), providing for the public offering (the “Public Offering”) by the underwriters listed in Schedule 1 to the Underwriting Agreement (the “Underwriters”), of shares of common stock, par value $0.0001 per share (the “Common Stock”), of the Company (the “Securities”). Capitalized terms used herein and not otherwise defined shall have the meanings set forth in the Underwriting Agreement.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 the undersigned will not, and will not cause any direct or indirect affiliate to, during the period beginning on the date hereof and ending at the close of business 60 days after the date of the final prospectus supplement relating to the Public Offering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w:t>
      </w:r>
    </w:p>
    <w:p>
      <w:pPr>
        <w:spacing w:after="0" w:line="5" w:lineRule="exact"/>
        <w:rPr>
          <w:sz w:val="20"/>
          <w:szCs w:val="20"/>
          <w:color w:val="auto"/>
        </w:rPr>
      </w:pPr>
    </w:p>
    <w:p>
      <w:pPr>
        <w:jc w:val="both"/>
        <w:ind w:firstLine="8"/>
        <w:spacing w:after="0" w:line="251" w:lineRule="auto"/>
        <w:tabs>
          <w:tab w:leader="none" w:pos="2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above is to be settled by delivery of Lock-Up Securities, in cash or otherwise, (3) make any demand for or exercise any right with respect to the registration of any Lock-Up Securities, or (4) publicly disclose the intention to do any of the foregoing. During the Restricted Period,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the undersigned has furnished the Underwriters with the details of any transaction the undersigned, or any of the undersigned’s affiliates, is a party to as of the date hereof, which transaction would have been restricted by this agreement (the “Lock-Up Agreement”) if it had been entered into by the undersigned during the Restricted Period.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ectPr>
          <w:pgSz w:w="11900" w:h="16838" w:orient="portrait"/>
          <w:cols w:equalWidth="0" w:num="1">
            <w:col w:w="11240"/>
          </w:cols>
          <w:pgMar w:left="320" w:top="117" w:right="339" w:bottom="1440" w:gutter="0" w:footer="0" w:header="0"/>
        </w:sectPr>
      </w:pPr>
    </w:p>
    <w:bookmarkStart w:id="46" w:name="page47"/>
    <w:bookmarkEnd w:id="46"/>
    <w:p>
      <w:pPr>
        <w:ind w:left="900" w:hanging="244"/>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dispose of the undersigned’s Lock-Up Securities: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tax planning or estate planning purposes,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(A) immediate family of the undersigned or (B) trust for the direct or indirect benefit of the undersigned or the immediate family of the undersigned, or if the undersigned is a trust, to a trustor or beneficiary of the trust or to the estate of a beneficiary of such trust (for purposes of this Lock-Up Agreement, “immediate family” shall mean any relationship by blood, current or former marriage, domestic partnership or adoption, not more remote than first cousin),</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62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undersigned or the immediate family of the undersigned are the legal and beneficial owner of all of the outstanding equity securities or similar interests,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1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or transfer to members, partners, shareholders or other equityholders of the undersigned,</w:t>
      </w:r>
    </w:p>
    <w:p>
      <w:pPr>
        <w:spacing w:after="0" w:line="187"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court order,</w:t>
      </w:r>
    </w:p>
    <w:p>
      <w:pPr>
        <w:spacing w:after="0" w:line="206"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0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the Public Offering and any transaction with respect to shares of Common Stock acquired in open market transactions after the completion of the Public Offering,</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surrender or forfeiture of Common Stock or other securities of the Company to the Company to satisfy tax withholding obligations upon exercise or vesting or the exercise price upon a cashless net exercise, in each case, of stock options, restricted stock, other equity awards, warrants or other rights to acquire Common Stock that are outstanding on the date hereof, or (ii) in connection with sales of shares of Common Stock upon the vesting of restricted stock or restricted stock units, so long as such sale is effected solely in an amount sufficient to cover withholding taxes due in connection with such restricted stock or restricted stock units; provided that (A) any filing under Section 16 of the Exchange Act shall indicate in the footnotes thereto that the filing relates to the applicable circumstances described in this clause and (B) no other public announcement shall be required or shall be made voluntarily in connection with such transfer;</w:t>
      </w:r>
    </w:p>
    <w:p>
      <w:pPr>
        <w:spacing w:after="0" w:line="21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1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trading plan pursuant to a Trading Plan (as defined below) that is existing on the date hereof, provided that (A) any filing under Section 16 of the Exchange Act shall indicate in the footnotes thereto that the filing relates to the applicable circumstances described in this clause and (B) no other public announcement shall be required or shall be made voluntarily in connection with such transfer; or</w:t>
      </w:r>
    </w:p>
    <w:p>
      <w:pPr>
        <w:sectPr>
          <w:pgSz w:w="11900" w:h="16838" w:orient="portrait"/>
          <w:cols w:equalWidth="0" w:num="1">
            <w:col w:w="11240"/>
          </w:cols>
          <w:pgMar w:left="320" w:top="1417" w:right="339" w:bottom="1440" w:gutter="0" w:footer="0" w:header="0"/>
        </w:sectPr>
      </w:pPr>
    </w:p>
    <w:bookmarkStart w:id="47" w:name="page48"/>
    <w:bookmarkEnd w:id="47"/>
    <w:p>
      <w:pPr>
        <w:jc w:val="both"/>
        <w:ind w:firstLine="1357"/>
        <w:spacing w:after="0" w:line="255" w:lineRule="auto"/>
        <w:tabs>
          <w:tab w:leader="none" w:pos="17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stock exchange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stock exchange or other similar transaction), in one transaction or a series of related transactions, to a person or group of affiliated persons (other than the Underwriters pursuant to the Public Offering), of shares of capital stock if, after such transfer, such person or group of affiliated persons would hold more than 50% of the outstanding voting securities of the Company (or the surviving entity); provided that in the event that such tender offer, merger, consolidation, stock exchange or other similar transaction is not completed, the undersigned’s Lock-Up Securities shall remain subject to the provisions of this Lock-Up Agreement;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clauses (a)(i), (ii), (iii), (iv), (v) and (vi), such transfer shall not involve a disposition for value, (B) in the case of any transfer or distribution pursuant to clauses (a)(i), (ii), (iii), (iv), (v), (vi) and (vii), each donee, devisee, transferee or distributee shall execute and deliver to the Representative a lock-up agreement in the form of this Lock-Up Agreement and (C) in the case of any transfer or distribution pursuant to clauses (a)(i), (iii) (vii), (viii), (ix),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the nature and conditions of such transfer in the footnotes thereto or by transaction code;</w:t>
      </w:r>
    </w:p>
    <w:p>
      <w:pPr>
        <w:spacing w:after="0" w:line="192" w:lineRule="exact"/>
        <w:rPr>
          <w:sz w:val="20"/>
          <w:szCs w:val="20"/>
          <w:color w:val="auto"/>
        </w:rPr>
      </w:pPr>
    </w:p>
    <w:p>
      <w:pPr>
        <w:jc w:val="both"/>
        <w:ind w:firstLine="656"/>
        <w:spacing w:after="0" w:line="255" w:lineRule="auto"/>
        <w:tabs>
          <w:tab w:leader="none" w:pos="9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outstanding options or warrants, or settle restricted stock, restricted stock units, performance units or other equity awards pursuant to plans described in the Registration Statement, the Pricing Disclosure Package and the Prospectus; provided that any Lock-up Securities received upon such exercise, vesting or settlement shall be subject to the terms of this Lock-Up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undersigned is required to make any filing under Section 16(a) of the Exchange Act, or other public filing, report or announcement during the Restricted Period, the undersigned shall clearly indicate that the filing relates to the circumstances described in this clause by footnotes thereto or transaction code and that the shares of Common Stock received upon the exercise, vesting or settlement, as applicable, are subject to this Lock-Up Agreement, and no public filing, report or announcement shall be voluntarily made; and</w:t>
      </w:r>
    </w:p>
    <w:p>
      <w:pPr>
        <w:spacing w:after="0" w:line="21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trading plans pursuant to Rule 10b5-1 under the Exchange Act for the transfer of shares of Lock-Up Securities (each such plan, a “Trading Plan”); provided that (1) such Trading Plans do not provide for the transfer of Lock-Up Securities during the Restricted Period and (2) no filing by any party under the Exchange Act or other public announcement shall be made voluntarily during the Restricted Period in connection with such trading plan and if any such filing or public announcement shall be legally required during the Restricted Period, such filing or public announcement shall clearly indicate therein that none of the securities subject to such plan may be transferred, sold or otherwise disposed of pursuant to such plan until after expiration of the Restricted Period.</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terms of this Lock-Up Agreement shall not apply to any Lock-Up Securities that are sold or transferred pursuant to the terms of any Trading Plans that are outstanding and in effect as of the date of this Lock-Up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undersigned is an executive officer or director of the Company, (i) the Underwriters agree that, at least three business days before the effective date of any release or waiver of the foregoing restrictions in connection with a transfer of shares of Lock-Up Securities, the Underwriters will notify the Company of the impending release or waiver, and (ii) the Company has agreed in the Underwriting Agreement to announce the impending release or</w:t>
      </w:r>
    </w:p>
    <w:p>
      <w:pPr>
        <w:sectPr>
          <w:pgSz w:w="11900" w:h="16838" w:orient="portrait"/>
          <w:cols w:equalWidth="0" w:num="1">
            <w:col w:w="11240"/>
          </w:cols>
          <w:pgMar w:left="320" w:top="1417"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waiver through a major news service at least two business days before the effective date of the release or waiver. Any release or waiver granted by the Underwriters hereunder to any such executive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Lock-Up Agreement to the extent and for the duration that such terms remain in effect at the time of the transfer.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Lock-Up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its own legal, accounting, financial, regulatory and tax advisors to the extent deemed appropriate. The undersigned further acknowledges and agrees that, although each Underwriter may be required or choose to provide certain Regulation Best Interest and Form CRS disclosures to you in connection with the Public Offering, none of the Representative or any other Underwriter is making a recommendation to you to enter into this Lock-Up Agreement and nothing set forth in such disclosures is intended to suggest that the Representative or any other Underwriter is making such a recommendation.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understands that, (i) if the Underwriting Agreement does not become effective by May 31, 2026, (ii) if the Underwriting Agreement (other than the provisions thereof which survive termination) shall terminate or be terminated prior to payment for and delivery of the Common Stock to be sold thereunder, (iii) the Company notifies the Representative, or the Representative notifies the Company, in writing prior to the execution of the Underwriting Agreement that it does not intend to proceed with the Public Offering, or (iv) prior to payment for the Securities, the Registration Statement is withdrawn prior to the execution of the Underwriting Agreement, then, in each case, the Lock-Up Agreement shall automatically terminate and be of no further force or effect and undersigned shall be released from all obligations under this Lock-Up Agreement, without any further action of any party hereto. The undersigned understands that the Underwriters are entering into the Underwriting Agreement and proceeding with the Public Offering in reliance upon this Lock-Up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(including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40"/>
          </w:cols>
          <w:pgMar w:left="320" w:top="1417"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This Lock-Up Agreement and any claim, controversy or dispute arising under or related to this Lock-Up Agreement shall be governed by and construed in accordance with the laws of the State of New York.</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283210</wp:posOffset>
            </wp:positionV>
            <wp:extent cx="70719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8890</wp:posOffset>
            </wp:positionV>
            <wp:extent cx="51346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34610" cy="17145"/>
                    </a:xfrm>
                    <a:prstGeom prst="rect">
                      <a:avLst/>
                    </a:prstGeom>
                    <a:noFill/>
                  </pic:spPr>
                </pic:pic>
              </a:graphicData>
            </a:graphic>
          </wp:anchor>
        </w:drawing>
      </w:r>
    </w:p>
    <w:p>
      <w:pPr>
        <w:spacing w:after="0" w:line="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283210</wp:posOffset>
            </wp:positionV>
            <wp:extent cx="70719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301625</wp:posOffset>
            </wp:positionV>
            <wp:extent cx="70719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 trustee, or on behalf of an entity)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11240"/>
          </w:cols>
          <w:pgMar w:left="320" w:top="144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 TO COMMON STOCK PURCHASE WARRANTS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BLAIZE HOLDINGS, INC.</w:t>
      </w:r>
    </w:p>
    <w:p>
      <w:pPr>
        <w:spacing w:after="0" w:line="25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TO COMMON STOCK PURCHASE WARRANTS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originally issued by Blaize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November 10, 2025 to (i) Polar Multi-Strategy Master Fund and (ii) Polar Long/Short Master Fund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for the purchase of up to 7,812,500 shares of common stock and 1,562,500 shares of common stock, respectively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is made and entered into by and between the Company and the Holders effective as of May 5,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WHEREAS, on November 10, 2025, the Company issued the Warrants to the Holders pursuant to the Purchase Agreement; and</w:t>
      </w:r>
    </w:p>
    <w:p>
      <w:pPr>
        <w:spacing w:after="0" w:line="117" w:lineRule="exact"/>
        <w:rPr>
          <w:sz w:val="20"/>
          <w:szCs w:val="20"/>
          <w:color w:val="auto"/>
        </w:rPr>
      </w:pPr>
    </w:p>
    <w:p>
      <w:pPr>
        <w:ind w:left="100" w:right="100" w:firstLine="647"/>
        <w:spacing w:after="0" w:line="282" w:lineRule="auto"/>
        <w:rPr>
          <w:sz w:val="20"/>
          <w:szCs w:val="20"/>
          <w:color w:val="auto"/>
        </w:rPr>
      </w:pPr>
      <w:r>
        <w:rPr>
          <w:rFonts w:ascii="Times New Roman" w:cs="Times New Roman" w:eastAsia="Times New Roman" w:hAnsi="Times New Roman"/>
          <w:sz w:val="18"/>
          <w:szCs w:val="18"/>
          <w:color w:val="auto"/>
        </w:rPr>
        <w:t>WHEREAS, pursuant to the provisions of Section 5(l) of the Warrants, the parties desire to amend the terms of the Warrants to modify the Exercise Price.</w:t>
      </w:r>
    </w:p>
    <w:p>
      <w:pPr>
        <w:spacing w:after="0" w:line="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set forth herein, and other consideration, the receipt and adequacy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hereby acknowledged, the parties hereto agree as follows:</w:t>
      </w:r>
    </w:p>
    <w:p>
      <w:pPr>
        <w:spacing w:after="0" w:line="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defined in this Amendment have the respective meanings ascribed to them in the Warrant.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656"/>
        <w:spacing w:after="0" w:line="261" w:lineRule="auto"/>
        <w:tabs>
          <w:tab w:leader="none" w:pos="129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on the one hand, and the Company on the other, hereby represents and warrants to the other: (i) it has the full power and authority to enter into this Amendment and to perform its obligations hereunder; (ii) the execution, delivery and performance of this Amendment have been duly authorized by all necessary corporate or organizational action on its part; and (iii) upon execution and delivery, this Amendment will be a valid and binding obligation of such party, enforceable against such party in accordance with its terms.</w:t>
      </w:r>
    </w:p>
    <w:p>
      <w:pPr>
        <w:spacing w:after="0" w:line="71" w:lineRule="exact"/>
        <w:rPr>
          <w:rFonts w:ascii="Times New Roman" w:cs="Times New Roman" w:eastAsia="Times New Roman" w:hAnsi="Times New Roman"/>
          <w:sz w:val="18"/>
          <w:szCs w:val="18"/>
          <w:color w:val="auto"/>
        </w:rPr>
      </w:pPr>
    </w:p>
    <w:p>
      <w:pPr>
        <w:ind w:right="100" w:firstLine="656"/>
        <w:spacing w:after="0" w:line="261" w:lineRule="auto"/>
        <w:tabs>
          <w:tab w:leader="none" w:pos="12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hereby represents and warrants that it is the sole and unconditional record owner of its respective Warrant and neither the Warrant nor any interests therein have been sold, assigned, endorsed, transferred, deposited under any agreement, hypothecated, pledged, or disposed of in any manner by or on behalf of the Holder; and that no person, firm or corporation has any right, title, claim, equity or interest in, to or respecting the Warrant, except the Holder as the sole owner.</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Amendments to the Warrants</w:t>
      </w:r>
      <w:r>
        <w:rPr>
          <w:rFonts w:ascii="Times New Roman" w:cs="Times New Roman" w:eastAsia="Times New Roman" w:hAnsi="Times New Roman"/>
          <w:sz w:val="18"/>
          <w:szCs w:val="18"/>
          <w:color w:val="auto"/>
        </w:rPr>
        <w:t>. As of the Effective Date:</w:t>
      </w:r>
    </w:p>
    <w:p>
      <w:pPr>
        <w:spacing w:after="0" w:line="117"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Section 2(b) of each Warrant is hereby deleted and replaced in its entirety with:</w:t>
      </w:r>
    </w:p>
    <w:p>
      <w:pPr>
        <w:spacing w:after="0" w:line="117"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$3.00, subject to adjustment hereunder (the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00" w:firstLine="162"/>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Holder hereby waives the Company’s compliance with Section 4.19 (Participation in Future Financing) of the Securities Purchase Agreement, dated as of November 12, 2026, between the Company and each Holder, in connection with the Company’s proposed public offering of common stock to occur on or about the date hereof.</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656"/>
        <w:spacing w:after="0" w:line="282" w:lineRule="auto"/>
        <w:tabs>
          <w:tab w:leader="none" w:pos="10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enforceable against the parties that execute such counterparts (including by facsimile or other electronic means), and all of which together shall constitute one instrument.</w:t>
      </w:r>
    </w:p>
    <w:p>
      <w:pPr>
        <w:spacing w:after="0" w:line="53" w:lineRule="exact"/>
        <w:rPr>
          <w:rFonts w:ascii="Times New Roman" w:cs="Times New Roman" w:eastAsia="Times New Roman" w:hAnsi="Times New Roman"/>
          <w:sz w:val="18"/>
          <w:szCs w:val="18"/>
          <w:color w:val="auto"/>
        </w:rPr>
      </w:pPr>
    </w:p>
    <w:p>
      <w:pPr>
        <w:ind w:right="200" w:firstLine="656"/>
        <w:spacing w:after="0" w:line="282" w:lineRule="auto"/>
        <w:tabs>
          <w:tab w:leader="none" w:pos="129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Amendment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120" w:firstLine="656"/>
        <w:spacing w:after="0" w:line="266" w:lineRule="auto"/>
        <w:tabs>
          <w:tab w:leader="none" w:pos="129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the Warrant</w:t>
      </w:r>
      <w:r>
        <w:rPr>
          <w:rFonts w:ascii="Times New Roman" w:cs="Times New Roman" w:eastAsia="Times New Roman" w:hAnsi="Times New Roman"/>
          <w:sz w:val="18"/>
          <w:szCs w:val="18"/>
          <w:color w:val="auto"/>
        </w:rPr>
        <w:t>. Except as expressly modified by this Amendment, the Warrant shall continue to be and remain in full force and effect in accordance with its original terms. Any future reference to the Warrant shall be deemed to be a reference to the Warrant as modified by this Amendment.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40"/>
          </w:cols>
          <w:pgMar w:left="320" w:top="122" w:right="339" w:bottom="1440" w:gutter="0" w:footer="0" w:header="0"/>
        </w:sectPr>
      </w:pPr>
    </w:p>
    <w:bookmarkStart w:id="51" w:name="page52"/>
    <w:bookmarkEnd w:id="51"/>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Amendment to be executed by its officer thereunto duly authorized as of the date first above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BLAIZE HOLDINGS, INC.</w:t>
      </w:r>
    </w:p>
    <w:p>
      <w:pPr>
        <w:spacing w:after="0" w:line="2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Harminder Sehmi</w:t>
      </w:r>
    </w:p>
    <w:p>
      <w:pPr>
        <w:spacing w:after="0" w:line="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Harminder Sehmi</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POLAR LONG/SHORT MASTER FUND</w:t>
      </w:r>
    </w:p>
    <w:p>
      <w:pPr>
        <w:spacing w:after="0" w:line="200" w:lineRule="exact"/>
        <w:rPr>
          <w:sz w:val="20"/>
          <w:szCs w:val="20"/>
          <w:color w:val="auto"/>
        </w:rPr>
      </w:pPr>
    </w:p>
    <w:p>
      <w:pPr>
        <w:spacing w:after="0" w:line="2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Elisabeth Summers /s/ Suraj Rammohan</w:t>
      </w:r>
    </w:p>
    <w:p>
      <w:pPr>
        <w:spacing w:after="0" w:line="2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Elisabeth Summers / Suraj Rammohan</w:t>
      </w:r>
    </w:p>
    <w:p>
      <w:pPr>
        <w:spacing w:after="0" w:line="1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General Counsel / Director, Legal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POLAR MULTI-STRATEGY MASTER FUND</w:t>
      </w:r>
    </w:p>
    <w:p>
      <w:pPr>
        <w:spacing w:after="0" w:line="200" w:lineRule="exact"/>
        <w:rPr>
          <w:sz w:val="20"/>
          <w:szCs w:val="20"/>
          <w:color w:val="auto"/>
        </w:rPr>
      </w:pPr>
    </w:p>
    <w:p>
      <w:pPr>
        <w:spacing w:after="0" w:line="29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Elisabeth Summers /s/ Suraj Rammohan</w:t>
      </w:r>
    </w:p>
    <w:p>
      <w:pPr>
        <w:spacing w:after="0" w:line="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color w:val="auto"/>
        </w:rPr>
        <w:t>Name:</w:t>
        <w:tab/>
        <w:t>Elisabeth Summers / Suraj Rammohan</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General Counsel / Director,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[Signature Page to Warrant Amendment]</w:t>
      </w:r>
    </w:p>
    <w:p>
      <w:pPr>
        <w:sectPr>
          <w:pgSz w:w="11900" w:h="16838" w:orient="portrait"/>
          <w:cols w:equalWidth="0" w:num="1">
            <w:col w:w="10960"/>
          </w:cols>
          <w:pgMar w:left="320" w:top="1440" w:right="61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Blaize Announces Public Offering of Common Stock</w:t>
      </w:r>
    </w:p>
    <w:p>
      <w:pPr>
        <w:spacing w:after="0" w:line="235" w:lineRule="exact"/>
        <w:rPr>
          <w:sz w:val="20"/>
          <w:szCs w:val="20"/>
          <w:color w:val="auto"/>
        </w:rPr>
      </w:pPr>
    </w:p>
    <w:p>
      <w:pPr>
        <w:spacing w:after="0" w:line="361" w:lineRule="auto"/>
        <w:rPr>
          <w:sz w:val="20"/>
          <w:szCs w:val="20"/>
          <w:color w:val="auto"/>
        </w:rPr>
      </w:pPr>
      <w:r>
        <w:rPr>
          <w:rFonts w:ascii="Arial" w:cs="Arial" w:eastAsia="Arial" w:hAnsi="Arial"/>
          <w:sz w:val="22"/>
          <w:szCs w:val="22"/>
          <w:b w:val="1"/>
          <w:bCs w:val="1"/>
          <w:color w:val="auto"/>
        </w:rPr>
        <w:t xml:space="preserve">EL DORADO HILLS, Calif., May 5, 2026 /PRNewswire/ -- </w:t>
      </w:r>
      <w:r>
        <w:rPr>
          <w:rFonts w:ascii="Arial" w:cs="Arial" w:eastAsia="Arial" w:hAnsi="Arial"/>
          <w:sz w:val="22"/>
          <w:szCs w:val="22"/>
          <w:color w:val="auto"/>
        </w:rPr>
        <w:t>Blaize Holdings, Inc. (Nasdaq: BZAI, Nasdaq: BZAIW)</w:t>
      </w:r>
      <w:r>
        <w:rPr>
          <w:rFonts w:ascii="Arial" w:cs="Arial" w:eastAsia="Arial" w:hAnsi="Arial"/>
          <w:sz w:val="22"/>
          <w:szCs w:val="22"/>
          <w:b w:val="1"/>
          <w:bCs w:val="1"/>
          <w:color w:val="auto"/>
        </w:rPr>
        <w:t xml:space="preserve"> </w:t>
      </w:r>
      <w:r>
        <w:rPr>
          <w:rFonts w:ascii="Arial" w:cs="Arial" w:eastAsia="Arial" w:hAnsi="Arial"/>
          <w:sz w:val="22"/>
          <w:szCs w:val="22"/>
          <w:color w:val="auto"/>
        </w:rPr>
        <w:t>(“Blaize,” the “Company,” “we,” “our,” or “us”), a leader in programmable, energy-efficient AI computing, announced today that it intends to offer and sell shares of its common stock in an underwritten public offering. In connection with the offering, Blaize also expects to grant the underwriters a 30-day option to purchase up to an additional 15% of the shares of common stock offered at the public offering price, less the underwriting discounts. The offering is subject to market and other conditions, and there can be no assurance as to whether or when the offering may be completed, or as to the actual size or terms of the offering.</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The Company intends to use net proceeds from the offering for working capital and general corporate purposes.</w:t>
      </w:r>
    </w:p>
    <w:p>
      <w:pPr>
        <w:spacing w:after="0" w:line="274" w:lineRule="exact"/>
        <w:rPr>
          <w:sz w:val="20"/>
          <w:szCs w:val="20"/>
          <w:color w:val="auto"/>
        </w:rPr>
      </w:pPr>
    </w:p>
    <w:p>
      <w:pPr>
        <w:ind w:right="180"/>
        <w:spacing w:after="0" w:line="387" w:lineRule="auto"/>
        <w:rPr>
          <w:sz w:val="20"/>
          <w:szCs w:val="20"/>
          <w:color w:val="auto"/>
        </w:rPr>
      </w:pPr>
      <w:r>
        <w:rPr>
          <w:rFonts w:ascii="Arial" w:cs="Arial" w:eastAsia="Arial" w:hAnsi="Arial"/>
          <w:sz w:val="22"/>
          <w:szCs w:val="22"/>
          <w:color w:val="auto"/>
        </w:rPr>
        <w:t>Northland Capital Markets is acting as sole bookrunning manager for the offering. The Benchmark Company, LLC is acting as co-manager for the offering.</w:t>
      </w:r>
    </w:p>
    <w:p>
      <w:pPr>
        <w:spacing w:after="0" w:line="75" w:lineRule="exact"/>
        <w:rPr>
          <w:sz w:val="20"/>
          <w:szCs w:val="20"/>
          <w:color w:val="auto"/>
        </w:rPr>
      </w:pPr>
    </w:p>
    <w:p>
      <w:pPr>
        <w:ind w:right="20"/>
        <w:spacing w:after="0" w:line="360" w:lineRule="auto"/>
        <w:rPr>
          <w:sz w:val="20"/>
          <w:szCs w:val="20"/>
          <w:color w:val="auto"/>
        </w:rPr>
      </w:pPr>
      <w:r>
        <w:rPr>
          <w:rFonts w:ascii="Arial" w:cs="Arial" w:eastAsia="Arial" w:hAnsi="Arial"/>
          <w:sz w:val="22"/>
          <w:szCs w:val="22"/>
          <w:color w:val="auto"/>
        </w:rPr>
        <w:t>A shelf registration statement on Form S-3 relating to the securities offered in the public offering described above was filed with the Securities and Exchange Commission (the “SEC”) on January 27, 2026 (File No. 333-292986) and declared effective by the SEC on February 4, 2026. The offering will be made only by means of a written prospectus and prospectus supplement that form a part of the registration statement. A preliminary prospectus supplement and accompanying prospectus relating to the offering will be filed with the SEC and will be available on the SEC’s website at www.sec.gov. Copies of the preliminary prospectus supplement and the accompanying prospectus, when available, may also be obtained from Northland Securities, Inc., 150 South Fifth Street, Suite 3300, Minneapolis, MN, Attention: Heidi Fletcher, by telephone at (612) 851-4918. The final terms of the offering will be disclosed in a final prospectus supplement to be filed with the SEC.</w:t>
      </w:r>
    </w:p>
    <w:p>
      <w:pPr>
        <w:spacing w:after="0" w:line="108" w:lineRule="exact"/>
        <w:rPr>
          <w:sz w:val="20"/>
          <w:szCs w:val="20"/>
          <w:color w:val="auto"/>
        </w:rPr>
      </w:pPr>
    </w:p>
    <w:p>
      <w:pPr>
        <w:jc w:val="both"/>
        <w:ind w:right="360"/>
        <w:spacing w:after="0" w:line="373" w:lineRule="auto"/>
        <w:rPr>
          <w:sz w:val="20"/>
          <w:szCs w:val="20"/>
          <w:color w:val="auto"/>
        </w:rPr>
      </w:pPr>
      <w:r>
        <w:rPr>
          <w:rFonts w:ascii="Arial" w:cs="Arial" w:eastAsia="Arial" w:hAnsi="Arial"/>
          <w:sz w:val="22"/>
          <w:szCs w:val="22"/>
          <w:color w:val="auto"/>
        </w:rPr>
        <w:t>This press release does not constitute an offer to sell, or the solicitation of an offer to buy, these securities, nor will there be any sale of these securities in any state or other jurisdiction in which such offer, solicitation or sale is not permitted.</w:t>
      </w:r>
    </w:p>
    <w:p>
      <w:pPr>
        <w:sectPr>
          <w:pgSz w:w="11900" w:h="16838" w:orient="portrait"/>
          <w:cols w:equalWidth="0" w:num="1">
            <w:col w:w="11240"/>
          </w:cols>
          <w:pgMar w:left="320" w:top="125" w:right="339" w:bottom="1440" w:gutter="0" w:footer="0" w:header="0"/>
        </w:sectPr>
      </w:pPr>
    </w:p>
    <w:bookmarkStart w:id="53" w:name="page54"/>
    <w:bookmarkEnd w:id="53"/>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Blaize</w:t>
      </w:r>
    </w:p>
    <w:p>
      <w:pPr>
        <w:spacing w:after="0" w:line="114" w:lineRule="exact"/>
        <w:rPr>
          <w:sz w:val="20"/>
          <w:szCs w:val="20"/>
          <w:color w:val="auto"/>
        </w:rPr>
      </w:pPr>
    </w:p>
    <w:p>
      <w:pPr>
        <w:ind w:right="20"/>
        <w:spacing w:after="0" w:line="364" w:lineRule="auto"/>
        <w:rPr>
          <w:sz w:val="20"/>
          <w:szCs w:val="20"/>
          <w:color w:val="auto"/>
        </w:rPr>
      </w:pPr>
      <w:r>
        <w:rPr>
          <w:rFonts w:ascii="Arial" w:cs="Arial" w:eastAsia="Arial" w:hAnsi="Arial"/>
          <w:sz w:val="22"/>
          <w:szCs w:val="22"/>
          <w:color w:val="auto"/>
        </w:rPr>
        <w:t>Blaize delivers a programmable AI platform, purpose-built for AI inference workloads in real-world environments. Its Hybrid AI architecture combines the Blaize GSP (Graph Streaming Processor), an efficient AI processor, with GPU-based infrastructure, enabling AI inference workloads to run across edge, cloud, and data center. Blaize solutions support computer vision, multimodal AI, and sensor-driven applications across smart cities, industrial automation, telecommunications, retail, logistics, and defense. Blaize is headquartered in El Dorado Hills, California, with a global presence across North America, Europe, the Middle East, and Asia.</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 Looking Statements</w:t>
      </w:r>
    </w:p>
    <w:p>
      <w:pPr>
        <w:spacing w:after="0" w:line="127" w:lineRule="exact"/>
        <w:rPr>
          <w:sz w:val="20"/>
          <w:szCs w:val="20"/>
          <w:color w:val="auto"/>
        </w:rPr>
      </w:pPr>
    </w:p>
    <w:p>
      <w:pPr>
        <w:spacing w:after="0" w:line="383" w:lineRule="auto"/>
        <w:rPr>
          <w:sz w:val="20"/>
          <w:szCs w:val="20"/>
          <w:color w:val="auto"/>
        </w:rPr>
      </w:pPr>
      <w:r>
        <w:rPr>
          <w:rFonts w:ascii="Arial" w:cs="Arial" w:eastAsia="Arial" w:hAnsi="Arial"/>
          <w:sz w:val="21"/>
          <w:szCs w:val="21"/>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and include those relating to the expected timing of the offering, the satisfaction of customary closing conditions related to the offering, and our intended use of proceeds from the offering.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those factors discussed under the heading “Risk Factors” in our Annual Report on Form 10-K filed with the SEC on March 24, 2026 and in other filings made by Blaize from time to time with the SEC. These filings identify and address other important risks and uncertainties that could cause actual events and results to differ materially from those contained in the forward-</w:t>
      </w:r>
    </w:p>
    <w:p>
      <w:pPr>
        <w:sectPr>
          <w:pgSz w:w="11900" w:h="16838" w:orient="portrait"/>
          <w:cols w:equalWidth="0" w:num="1">
            <w:col w:w="11180"/>
          </w:cols>
          <w:pgMar w:left="320" w:top="1440" w:right="399" w:bottom="1440" w:gutter="0" w:footer="0" w:header="0"/>
        </w:sectPr>
      </w:pPr>
    </w:p>
    <w:bookmarkStart w:id="54" w:name="page55"/>
    <w:bookmarkEnd w:id="54"/>
    <w:p>
      <w:pPr>
        <w:spacing w:after="0" w:line="37" w:lineRule="exact"/>
        <w:rPr>
          <w:sz w:val="20"/>
          <w:szCs w:val="20"/>
          <w:color w:val="auto"/>
        </w:rPr>
      </w:pPr>
    </w:p>
    <w:p>
      <w:pPr>
        <w:spacing w:after="0" w:line="364" w:lineRule="auto"/>
        <w:rPr>
          <w:sz w:val="20"/>
          <w:szCs w:val="20"/>
          <w:color w:val="auto"/>
        </w:rPr>
      </w:pPr>
      <w:r>
        <w:rPr>
          <w:rFonts w:ascii="Arial" w:cs="Arial" w:eastAsia="Arial" w:hAnsi="Arial"/>
          <w:sz w:val="22"/>
          <w:szCs w:val="22"/>
          <w:color w:val="auto"/>
        </w:rPr>
        <w:t>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Blaize Contact</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press@blaize.com</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ir@blaize.com</w:t>
      </w:r>
    </w:p>
    <w:p>
      <w:pPr>
        <w:sectPr>
          <w:pgSz w:w="11900" w:h="16838" w:orient="portrait"/>
          <w:cols w:equalWidth="0" w:num="1">
            <w:col w:w="11220"/>
          </w:cols>
          <w:pgMar w:left="320" w:top="1440"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Blaize Announces Pricing of $35 Million Public Offering of Common Stock</w:t>
      </w:r>
    </w:p>
    <w:p>
      <w:pPr>
        <w:spacing w:after="0" w:line="235" w:lineRule="exact"/>
        <w:rPr>
          <w:sz w:val="20"/>
          <w:szCs w:val="20"/>
          <w:color w:val="auto"/>
        </w:rPr>
      </w:pPr>
    </w:p>
    <w:p>
      <w:pPr>
        <w:ind w:right="60"/>
        <w:spacing w:after="0" w:line="361" w:lineRule="auto"/>
        <w:rPr>
          <w:sz w:val="20"/>
          <w:szCs w:val="20"/>
          <w:color w:val="auto"/>
        </w:rPr>
      </w:pPr>
      <w:r>
        <w:rPr>
          <w:rFonts w:ascii="Arial" w:cs="Arial" w:eastAsia="Arial" w:hAnsi="Arial"/>
          <w:sz w:val="22"/>
          <w:szCs w:val="22"/>
          <w:b w:val="1"/>
          <w:bCs w:val="1"/>
          <w:color w:val="auto"/>
        </w:rPr>
        <w:t xml:space="preserve">EL DORADO HILLS, Calif., May 6, 2026 /PRNewswire/ -- </w:t>
      </w:r>
      <w:r>
        <w:rPr>
          <w:rFonts w:ascii="Arial" w:cs="Arial" w:eastAsia="Arial" w:hAnsi="Arial"/>
          <w:sz w:val="22"/>
          <w:szCs w:val="22"/>
          <w:color w:val="auto"/>
        </w:rPr>
        <w:t>Blaize Holdings, Inc. (Nasdaq: BZAI, Nasdaq: BZAIW)</w:t>
      </w:r>
      <w:r>
        <w:rPr>
          <w:rFonts w:ascii="Arial" w:cs="Arial" w:eastAsia="Arial" w:hAnsi="Arial"/>
          <w:sz w:val="22"/>
          <w:szCs w:val="22"/>
          <w:b w:val="1"/>
          <w:bCs w:val="1"/>
          <w:color w:val="auto"/>
        </w:rPr>
        <w:t xml:space="preserve"> </w:t>
      </w:r>
      <w:r>
        <w:rPr>
          <w:rFonts w:ascii="Arial" w:cs="Arial" w:eastAsia="Arial" w:hAnsi="Arial"/>
          <w:sz w:val="22"/>
          <w:szCs w:val="22"/>
          <w:color w:val="auto"/>
        </w:rPr>
        <w:t>("Blaize," the “Company,” “we,” “our,” or “us”), a leader in programmable, energy-efficient AI computing, announced today the pricing of its registered underwritten public offering of 18,918,918 shares of its common stock at a public offering price of $1.85 per share, resulting in gross proceeds to the Company of approximately $35 million, before deducting the underwriters’ discounts and estimated offering fees and expenses. In addition, Blaize granted the underwriters a 30-day option to purchase up to an additional 2,837,837 shares of common stock at the public offering price, less the underwriting discounts. The offering is expected to close on May 7, 2026, subject to customary closing conditions.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The Company intends to use net proceeds from the offering for working capital and general corporate purposes.</w:t>
      </w:r>
    </w:p>
    <w:p>
      <w:pPr>
        <w:spacing w:after="0" w:line="274" w:lineRule="exact"/>
        <w:rPr>
          <w:sz w:val="20"/>
          <w:szCs w:val="20"/>
          <w:color w:val="auto"/>
        </w:rPr>
      </w:pPr>
    </w:p>
    <w:p>
      <w:pPr>
        <w:ind w:right="180"/>
        <w:spacing w:after="0" w:line="374" w:lineRule="auto"/>
        <w:rPr>
          <w:sz w:val="20"/>
          <w:szCs w:val="20"/>
          <w:color w:val="auto"/>
        </w:rPr>
      </w:pPr>
      <w:r>
        <w:rPr>
          <w:rFonts w:ascii="Arial" w:cs="Arial" w:eastAsia="Arial" w:hAnsi="Arial"/>
          <w:sz w:val="22"/>
          <w:szCs w:val="22"/>
          <w:color w:val="auto"/>
        </w:rPr>
        <w:t>Northland Capital Markets is acting as sole bookrunning manager for the offering. The Benchmark Company, LLC is acting as co-manager for the offering.</w:t>
      </w:r>
    </w:p>
    <w:p>
      <w:pPr>
        <w:spacing w:after="0" w:line="103" w:lineRule="exact"/>
        <w:rPr>
          <w:sz w:val="20"/>
          <w:szCs w:val="20"/>
          <w:color w:val="auto"/>
        </w:rPr>
      </w:pPr>
    </w:p>
    <w:p>
      <w:pPr>
        <w:ind w:right="20"/>
        <w:spacing w:after="0" w:line="359" w:lineRule="auto"/>
        <w:rPr>
          <w:sz w:val="20"/>
          <w:szCs w:val="20"/>
          <w:color w:val="auto"/>
        </w:rPr>
      </w:pPr>
      <w:r>
        <w:rPr>
          <w:rFonts w:ascii="Arial" w:cs="Arial" w:eastAsia="Arial" w:hAnsi="Arial"/>
          <w:sz w:val="22"/>
          <w:szCs w:val="22"/>
          <w:color w:val="auto"/>
        </w:rPr>
        <w:t>A shelf registration statement on Form S-3 relating to the securities offered in the public offering described above was filed with the Securities and Exchange Commission (the “SEC”) on January 27, 2026 (File No. 333-292986) and declared effective by the SEC on February 4, 2026. The offering will be made only by means of a written prospectus and prospectus supplement that form a part of the registration statement. A preliminary prospectus supplement and accompanying prospectus relating to the offering has been filed with the SEC and is available on the SEC’s website at www.sec.gov. A final prospectus supplement relating to the offering will be filed with the SEC and will be available on its website. Copies of the final prospectus supplement and the accompanying prospectus, when available, may also be obtained from Northland Securities, Inc., 150 South Fifth Street, Suite 3300, Minneapolis, MN, Attention: Heidi Fletcher, by telephone at (612) 851-4918.</w:t>
      </w:r>
    </w:p>
    <w:p>
      <w:pPr>
        <w:sectPr>
          <w:pgSz w:w="11900" w:h="16838" w:orient="portrait"/>
          <w:cols w:equalWidth="0" w:num="1">
            <w:col w:w="11240"/>
          </w:cols>
          <w:pgMar w:left="320" w:top="125" w:right="339" w:bottom="1440" w:gutter="0" w:footer="0" w:header="0"/>
        </w:sectPr>
      </w:pPr>
    </w:p>
    <w:bookmarkStart w:id="56" w:name="page57"/>
    <w:bookmarkEnd w:id="56"/>
    <w:p>
      <w:pPr>
        <w:spacing w:after="0" w:line="37" w:lineRule="exact"/>
        <w:rPr>
          <w:sz w:val="20"/>
          <w:szCs w:val="20"/>
          <w:color w:val="auto"/>
        </w:rPr>
      </w:pPr>
    </w:p>
    <w:p>
      <w:pPr>
        <w:jc w:val="both"/>
        <w:ind w:right="300"/>
        <w:spacing w:after="0" w:line="373" w:lineRule="auto"/>
        <w:rPr>
          <w:sz w:val="20"/>
          <w:szCs w:val="20"/>
          <w:color w:val="auto"/>
        </w:rPr>
      </w:pPr>
      <w:r>
        <w:rPr>
          <w:rFonts w:ascii="Arial" w:cs="Arial" w:eastAsia="Arial" w:hAnsi="Arial"/>
          <w:sz w:val="22"/>
          <w:szCs w:val="22"/>
          <w:color w:val="auto"/>
        </w:rPr>
        <w:t>This press release does not constitute an offer to sell, or the solicitation of an offer to buy, these securities, nor will there be any sale of these securities in any state or other jurisdiction in which such offer, solicitation or sale is not permitted.</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Blaize</w:t>
      </w:r>
    </w:p>
    <w:p>
      <w:pPr>
        <w:spacing w:after="0" w:line="127" w:lineRule="exact"/>
        <w:rPr>
          <w:sz w:val="20"/>
          <w:szCs w:val="20"/>
          <w:color w:val="auto"/>
        </w:rPr>
      </w:pPr>
    </w:p>
    <w:p>
      <w:pPr>
        <w:ind w:right="20"/>
        <w:spacing w:after="0" w:line="361" w:lineRule="auto"/>
        <w:rPr>
          <w:sz w:val="20"/>
          <w:szCs w:val="20"/>
          <w:color w:val="auto"/>
        </w:rPr>
      </w:pPr>
      <w:r>
        <w:rPr>
          <w:rFonts w:ascii="Arial" w:cs="Arial" w:eastAsia="Arial" w:hAnsi="Arial"/>
          <w:sz w:val="22"/>
          <w:szCs w:val="22"/>
          <w:color w:val="auto"/>
        </w:rPr>
        <w:t>Blaize delivers a programmable AI platform, purpose-built for AI inference workloads in real-world environments. Its Hybrid AI architecture combines the Blaize GSP (Graph Streaming Processor), an efficient AI processor, with GPU-based infrastructure, enabling AI inference workloads to run across edge, cloud, and data center. Blaize solutions support computer vision, multimodal AI, and sensor-driven applications across smart cities, industrial automation, telecommunications, retail, logistics, and defense. Blaize is headquartered in El Dorado Hills, California, with a global presence across North America, Europe, the Middle East, and Asia.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 Looking Statements</w:t>
      </w:r>
    </w:p>
    <w:p>
      <w:pPr>
        <w:spacing w:after="0" w:line="127" w:lineRule="exact"/>
        <w:rPr>
          <w:sz w:val="20"/>
          <w:szCs w:val="20"/>
          <w:color w:val="auto"/>
        </w:rPr>
      </w:pPr>
    </w:p>
    <w:p>
      <w:pPr>
        <w:spacing w:after="0" w:line="377" w:lineRule="auto"/>
        <w:rPr>
          <w:sz w:val="20"/>
          <w:szCs w:val="20"/>
          <w:color w:val="auto"/>
        </w:rPr>
      </w:pPr>
      <w:r>
        <w:rPr>
          <w:rFonts w:ascii="Arial" w:cs="Arial" w:eastAsia="Arial" w:hAnsi="Arial"/>
          <w:sz w:val="21"/>
          <w:szCs w:val="21"/>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and include those relating to the expected closing of the offering, the satisfaction of customary closing conditions related to the offering, and our intended use of proceeds from the offering.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from the forward-looking statements in this document, including but not limited to those factors discussed</w:t>
      </w:r>
    </w:p>
    <w:p>
      <w:pPr>
        <w:sectPr>
          <w:pgSz w:w="11900" w:h="16838" w:orient="portrait"/>
          <w:cols w:equalWidth="0" w:num="1">
            <w:col w:w="11180"/>
          </w:cols>
          <w:pgMar w:left="320" w:top="1440" w:right="399" w:bottom="1440" w:gutter="0" w:footer="0" w:header="0"/>
        </w:sectPr>
      </w:pPr>
    </w:p>
    <w:bookmarkStart w:id="57" w:name="page58"/>
    <w:bookmarkEnd w:id="57"/>
    <w:p>
      <w:pPr>
        <w:spacing w:after="0" w:line="37" w:lineRule="exact"/>
        <w:rPr>
          <w:sz w:val="20"/>
          <w:szCs w:val="20"/>
          <w:color w:val="auto"/>
        </w:rPr>
      </w:pPr>
    </w:p>
    <w:p>
      <w:pPr>
        <w:spacing w:after="0" w:line="361" w:lineRule="auto"/>
        <w:rPr>
          <w:sz w:val="20"/>
          <w:szCs w:val="20"/>
          <w:color w:val="auto"/>
        </w:rPr>
      </w:pPr>
      <w:r>
        <w:rPr>
          <w:rFonts w:ascii="Arial" w:cs="Arial" w:eastAsia="Arial" w:hAnsi="Arial"/>
          <w:sz w:val="22"/>
          <w:szCs w:val="22"/>
          <w:color w:val="auto"/>
        </w:rPr>
        <w:t>under the heading “Risk Factors” in our Annual Report on Form 10-K filed with the SEC on March 24, 2026, and in other filings made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Blaize 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press@blaize.com</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ir@blaize.com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Letter"/>
      <w:start w:val="4"/>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2"/>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2"/>
    </w:lvl>
    <w:lvl w:ilvl="1">
      <w:lvlJc w:val="left"/>
      <w:lvlText w:val="-"/>
      <w:numFmt w:val="bullet"/>
      <w:start w:val="1"/>
    </w:lvl>
  </w:abstractNum>
  <w:abstractNum w:abstractNumId="6">
    <w:nsid w:val="3804823E"/>
    <w:multiLevelType w:val="hybridMultilevel"/>
    <w:lvl w:ilvl="0">
      <w:lvlJc w:val="left"/>
      <w:lvlText w:val="(%1)"/>
      <w:numFmt w:val="lowerLetter"/>
      <w:start w:val="4"/>
    </w:lvl>
  </w:abstractNum>
  <w:abstractNum w:abstractNumId="7">
    <w:nsid w:val="77465F01"/>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8">
    <w:nsid w:val="7724C67E"/>
    <w:multiLevelType w:val="hybridMultilevel"/>
    <w:lvl w:ilvl="0">
      <w:lvlJc w:val="left"/>
      <w:lvlText w:val="(%1)"/>
      <w:numFmt w:val="lowerLetter"/>
      <w:start w:val="3"/>
    </w:lvl>
    <w:lvl w:ilvl="1">
      <w:lvlJc w:val="left"/>
      <w:lvlText w:val="-"/>
      <w:numFmt w:val="bullet"/>
      <w:start w:val="1"/>
    </w:lvl>
  </w:abstractNum>
  <w:abstractNum w:abstractNumId="9">
    <w:nsid w:val="5C482A97"/>
    <w:multiLevelType w:val="hybridMultilevel"/>
    <w:lvl w:ilvl="0">
      <w:lvlJc w:val="left"/>
      <w:lvlText w:val="(%1)"/>
      <w:numFmt w:val="lowerLetter"/>
      <w:start w:val="5"/>
    </w:lvl>
    <w:lvl w:ilvl="1">
      <w:lvlJc w:val="left"/>
      <w:lvlText w:val="-"/>
      <w:numFmt w:val="bullet"/>
      <w:start w:val="1"/>
    </w:lvl>
  </w:abstractNum>
  <w:abstractNum w:abstractNumId="10">
    <w:nsid w:val="2463B9EA"/>
    <w:multiLevelType w:val="hybridMultilevel"/>
    <w:lvl w:ilvl="0">
      <w:lvlJc w:val="left"/>
      <w:lvlText w:val="(%1)"/>
      <w:numFmt w:val="lowerLetter"/>
      <w:start w:val="8"/>
    </w:lvl>
    <w:lvl w:ilvl="1">
      <w:lvlJc w:val="left"/>
      <w:lvlText w:val="-"/>
      <w:numFmt w:val="bullet"/>
      <w:start w:val="1"/>
    </w:lvl>
  </w:abstractNum>
  <w:abstractNum w:abstractNumId="11">
    <w:nsid w:val="5E884ADC"/>
    <w:multiLevelType w:val="hybridMultilevel"/>
    <w:lvl w:ilvl="0">
      <w:lvlJc w:val="left"/>
      <w:lvlText w:val="(%1)"/>
      <w:numFmt w:val="lowerLetter"/>
      <w:start w:val="10"/>
    </w:lvl>
    <w:lvl w:ilvl="1">
      <w:lvlJc w:val="left"/>
      <w:lvlText w:val="-"/>
      <w:numFmt w:val="bullet"/>
      <w:start w:val="1"/>
    </w:lvl>
  </w:abstractNum>
  <w:abstractNum w:abstractNumId="12">
    <w:nsid w:val="51EAD36B"/>
    <w:multiLevelType w:val="hybridMultilevel"/>
    <w:lvl w:ilvl="0">
      <w:lvlJc w:val="left"/>
      <w:lvlText w:val="(%1)"/>
      <w:numFmt w:val="lowerLetter"/>
      <w:start w:val="12"/>
    </w:lvl>
  </w:abstractNum>
  <w:abstractNum w:abstractNumId="13">
    <w:nsid w:val="2D517796"/>
    <w:multiLevelType w:val="hybridMultilevel"/>
    <w:lvl w:ilvl="0">
      <w:lvlJc w:val="left"/>
      <w:lvlText w:val="(%1)"/>
      <w:numFmt w:val="lowerLetter"/>
      <w:start w:val="35"/>
    </w:lvl>
    <w:lvl w:ilvl="1">
      <w:lvlJc w:val="left"/>
      <w:lvlText w:val="(%2)"/>
      <w:numFmt w:val="lowerLetter"/>
      <w:start w:val="17"/>
    </w:lvl>
    <w:lvl w:ilvl="2">
      <w:lvlJc w:val="left"/>
      <w:lvlText w:val="-"/>
      <w:numFmt w:val="bullet"/>
      <w:start w:val="1"/>
    </w:lvl>
  </w:abstractNum>
  <w:abstractNum w:abstractNumId="14">
    <w:nsid w:val="580BD78F"/>
    <w:multiLevelType w:val="hybridMultilevel"/>
    <w:lvl w:ilvl="0">
      <w:lvlJc w:val="left"/>
      <w:lvlText w:val="(%1)"/>
      <w:numFmt w:val="lowerLetter"/>
      <w:start w:val="18"/>
    </w:lvl>
    <w:lvl w:ilvl="1">
      <w:lvlJc w:val="left"/>
      <w:lvlText w:val="-"/>
      <w:numFmt w:val="bullet"/>
      <w:start w:val="1"/>
    </w:lvl>
  </w:abstractNum>
  <w:abstractNum w:abstractNumId="15">
    <w:nsid w:val="153EA438"/>
    <w:multiLevelType w:val="hybridMultilevel"/>
    <w:lvl w:ilvl="0">
      <w:lvlJc w:val="left"/>
      <w:lvlText w:val="%1"/>
      <w:numFmt w:val="lowerLetter"/>
      <w:start w:val="1"/>
    </w:lvl>
    <w:lvl w:ilvl="1">
      <w:lvlJc w:val="left"/>
      <w:lvlText w:val="(%2)"/>
      <w:numFmt w:val="lowerLetter"/>
      <w:start w:val="23"/>
    </w:lvl>
    <w:lvl w:ilvl="2">
      <w:lvlJc w:val="left"/>
      <w:lvlText w:val="-"/>
      <w:numFmt w:val="bullet"/>
      <w:start w:val="1"/>
    </w:lvl>
  </w:abstractNum>
  <w:abstractNum w:abstractNumId="16">
    <w:nsid w:val="3855585C"/>
    <w:multiLevelType w:val="hybridMultilevel"/>
    <w:lvl w:ilvl="0">
      <w:lvlJc w:val="left"/>
      <w:lvlText w:val="(%1)"/>
      <w:numFmt w:val="lowerLetter"/>
      <w:start w:val="35"/>
    </w:lvl>
    <w:lvl w:ilvl="1">
      <w:lvlJc w:val="left"/>
      <w:lvlText w:val="(%2)"/>
      <w:numFmt w:val="lowerLetter"/>
      <w:start w:val="25"/>
    </w:lvl>
    <w:lvl w:ilvl="2">
      <w:lvlJc w:val="left"/>
      <w:lvlText w:val="-"/>
      <w:numFmt w:val="bullet"/>
      <w:start w:val="1"/>
    </w:lvl>
  </w:abstractNum>
  <w:abstractNum w:abstractNumId="17">
    <w:nsid w:val="70A64E2A"/>
    <w:multiLevelType w:val="hybridMultilevel"/>
    <w:lvl w:ilvl="0">
      <w:lvlJc w:val="left"/>
      <w:lvlText w:val="(%1)"/>
      <w:numFmt w:val="lowerLetter"/>
      <w:start w:val="26"/>
    </w:lvl>
  </w:abstractNum>
  <w:abstractNum w:abstractNumId="18">
    <w:nsid w:val="6A2342EC"/>
    <w:multiLevelType w:val="hybridMultilevel"/>
    <w:lvl w:ilvl="0">
      <w:lvlJc w:val="left"/>
      <w:lvlText w:val="(%1)"/>
      <w:numFmt w:val="lowerLetter"/>
      <w:start w:val="27"/>
    </w:lvl>
    <w:lvl w:ilvl="1">
      <w:lvlJc w:val="left"/>
      <w:lvlText w:val="-"/>
      <w:numFmt w:val="bullet"/>
      <w:start w:val="1"/>
    </w:lvl>
  </w:abstractNum>
  <w:abstractNum w:abstractNumId="19">
    <w:nsid w:val="2A487CB0"/>
    <w:multiLevelType w:val="hybridMultilevel"/>
    <w:lvl w:ilvl="0">
      <w:lvlJc w:val="left"/>
      <w:lvlText w:val="(%1)"/>
      <w:numFmt w:val="lowerLetter"/>
      <w:start w:val="30"/>
    </w:lvl>
    <w:lvl w:ilvl="1">
      <w:lvlJc w:val="left"/>
      <w:lvlText w:val="-"/>
      <w:numFmt w:val="bullet"/>
      <w:start w:val="1"/>
    </w:lvl>
  </w:abstractNum>
  <w:abstractNum w:abstractNumId="20">
    <w:nsid w:val="1D4ED43B"/>
    <w:multiLevelType w:val="hybridMultilevel"/>
    <w:lvl w:ilvl="0">
      <w:lvlJc w:val="left"/>
      <w:lvlText w:val="%1"/>
      <w:numFmt w:val="lowerLetter"/>
      <w:start w:val="1"/>
    </w:lvl>
    <w:lvl w:ilvl="1">
      <w:lvlJc w:val="left"/>
      <w:lvlText w:val="(%2)"/>
      <w:numFmt w:val="lowerLetter"/>
      <w:start w:val="33"/>
    </w:lvl>
  </w:abstractNum>
  <w:abstractNum w:abstractNumId="21">
    <w:nsid w:val="725A06FB"/>
    <w:multiLevelType w:val="hybridMultilevel"/>
    <w:lvl w:ilvl="0">
      <w:lvlJc w:val="left"/>
      <w:lvlText w:val="(%1)"/>
      <w:numFmt w:val="lowerLetter"/>
      <w:start w:val="13"/>
    </w:lvl>
    <w:lvl w:ilvl="1">
      <w:lvlJc w:val="left"/>
      <w:lvlText w:val="%2"/>
      <w:numFmt w:val="lowerLetter"/>
      <w:start w:val="1"/>
    </w:lvl>
  </w:abstractNum>
  <w:abstractNum w:abstractNumId="22">
    <w:nsid w:val="2CD89A32"/>
    <w:multiLevelType w:val="hybridMultilevel"/>
    <w:lvl w:ilvl="0">
      <w:lvlJc w:val="left"/>
      <w:lvlText w:val="(%1)"/>
      <w:numFmt w:val="upperLetter"/>
      <w:start w:val="2"/>
    </w:lvl>
    <w:lvl w:ilvl="1">
      <w:lvlJc w:val="left"/>
      <w:lvlText w:val="(%2)"/>
      <w:numFmt w:val="lowerLetter"/>
      <w:start w:val="34"/>
    </w:lvl>
    <w:lvl w:ilvl="2">
      <w:lvlJc w:val="left"/>
      <w:lvlText w:val="-"/>
      <w:numFmt w:val="bullet"/>
      <w:start w:val="1"/>
    </w:lvl>
  </w:abstractNum>
  <w:abstractNum w:abstractNumId="23">
    <w:nsid w:val="57E4CCAF"/>
    <w:multiLevelType w:val="hybridMultilevel"/>
    <w:lvl w:ilvl="0">
      <w:lvlJc w:val="left"/>
      <w:lvlText w:val="(%1)"/>
      <w:numFmt w:val="lowerLetter"/>
      <w:start w:val="35"/>
    </w:lvl>
    <w:lvl w:ilvl="1">
      <w:lvlJc w:val="left"/>
      <w:lvlText w:val="-"/>
      <w:numFmt w:val="bullet"/>
      <w:start w:val="1"/>
    </w:lvl>
  </w:abstractNum>
  <w:abstractNum w:abstractNumId="24">
    <w:nsid w:val="7A6D8D3C"/>
    <w:multiLevelType w:val="hybridMultilevel"/>
    <w:lvl w:ilvl="0">
      <w:lvlJc w:val="left"/>
      <w:lvlText w:val="(%1)"/>
      <w:numFmt w:val="lowerLetter"/>
      <w:start w:val="38"/>
    </w:lvl>
    <w:lvl w:ilvl="1">
      <w:lvlJc w:val="left"/>
      <w:lvlText w:val="-"/>
      <w:numFmt w:val="bullet"/>
      <w:start w:val="1"/>
    </w:lvl>
  </w:abstractNum>
  <w:abstractNum w:abstractNumId="25">
    <w:nsid w:val="4B588F54"/>
    <w:multiLevelType w:val="hybridMultilevel"/>
    <w:lvl w:ilvl="0">
      <w:lvlJc w:val="left"/>
      <w:lvlText w:val="(%1)"/>
      <w:numFmt w:val="lowerLetter"/>
      <w:start w:val="45"/>
    </w:lvl>
    <w:lvl w:ilvl="1">
      <w:lvlJc w:val="left"/>
      <w:lvlText w:val="-"/>
      <w:numFmt w:val="bullet"/>
      <w:start w:val="1"/>
    </w:lvl>
  </w:abstractNum>
  <w:abstractNum w:abstractNumId="26">
    <w:nsid w:val="542289EC"/>
    <w:multiLevelType w:val="hybridMultilevel"/>
    <w:lvl w:ilvl="0">
      <w:lvlJc w:val="left"/>
      <w:lvlText w:val="%1"/>
      <w:numFmt w:val="decimal"/>
      <w:start w:val="1"/>
    </w:lvl>
    <w:lvl w:ilvl="1">
      <w:lvlJc w:val="left"/>
      <w:lvlText w:val="(%2)"/>
      <w:numFmt w:val="lowerLetter"/>
      <w:start w:val="51"/>
    </w:lvl>
    <w:lvl w:ilvl="2">
      <w:lvlJc w:val="left"/>
      <w:lvlText w:val="-"/>
      <w:numFmt w:val="bullet"/>
      <w:start w:val="1"/>
    </w:lvl>
  </w:abstractNum>
  <w:abstractNum w:abstractNumId="27">
    <w:nsid w:val="6DE91B18"/>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8">
    <w:nsid w:val="38437FDB"/>
    <w:multiLevelType w:val="hybridMultilevel"/>
    <w:lvl w:ilvl="0">
      <w:lvlJc w:val="left"/>
      <w:lvlText w:val="(%1)"/>
      <w:numFmt w:val="lowerLetter"/>
      <w:start w:val="5"/>
    </w:lvl>
    <w:lvl w:ilvl="1">
      <w:lvlJc w:val="left"/>
      <w:lvlText w:val="-"/>
      <w:numFmt w:val="bullet"/>
      <w:start w:val="1"/>
    </w:lvl>
  </w:abstractNum>
  <w:abstractNum w:abstractNumId="29">
    <w:nsid w:val="7644A45C"/>
    <w:multiLevelType w:val="hybridMultilevel"/>
    <w:lvl w:ilvl="0">
      <w:lvlJc w:val="left"/>
      <w:lvlText w:val="%1"/>
      <w:numFmt w:val="lowerLetter"/>
      <w:start w:val="1"/>
    </w:lvl>
    <w:lvl w:ilvl="1">
      <w:lvlJc w:val="left"/>
      <w:lvlText w:val="(%2)"/>
      <w:numFmt w:val="lowerLetter"/>
      <w:start w:val="6"/>
    </w:lvl>
  </w:abstractNum>
  <w:abstractNum w:abstractNumId="30">
    <w:nsid w:val="32FFF902"/>
    <w:multiLevelType w:val="hybridMultilevel"/>
    <w:lvl w:ilvl="0">
      <w:lvlJc w:val="left"/>
      <w:lvlText w:val="(%1)"/>
      <w:numFmt w:val="lowerLetter"/>
      <w:start w:val="9"/>
    </w:lvl>
    <w:lvl w:ilvl="1">
      <w:lvlJc w:val="left"/>
      <w:lvlText w:val="%2"/>
      <w:numFmt w:val="lowerLetter"/>
      <w:start w:val="1"/>
    </w:lvl>
  </w:abstractNum>
  <w:abstractNum w:abstractNumId="31">
    <w:nsid w:val="684A481A"/>
    <w:multiLevelType w:val="hybridMultilevel"/>
    <w:lvl w:ilvl="0">
      <w:lvlJc w:val="left"/>
      <w:lvlText w:val="(%1)"/>
      <w:numFmt w:val="lowerLetter"/>
      <w:start w:val="22"/>
    </w:lvl>
    <w:lvl w:ilvl="1">
      <w:lvlJc w:val="left"/>
      <w:lvlText w:val="%2"/>
      <w:numFmt w:val="lowerLetter"/>
      <w:start w:val="1"/>
    </w:lvl>
  </w:abstractNum>
  <w:abstractNum w:abstractNumId="32">
    <w:nsid w:val="579478FE"/>
    <w:multiLevelType w:val="hybridMultilevel"/>
    <w:lvl w:ilvl="0">
      <w:lvlJc w:val="left"/>
      <w:lvlText w:val="(%1)"/>
      <w:numFmt w:val="lowerLetter"/>
      <w:start w:val="2"/>
    </w:lvl>
    <w:lvl w:ilvl="1">
      <w:lvlJc w:val="left"/>
      <w:lvlText w:val="(%2)"/>
      <w:numFmt w:val="lowerLetter"/>
      <w:start w:val="9"/>
    </w:lvl>
  </w:abstractNum>
  <w:abstractNum w:abstractNumId="33">
    <w:nsid w:val="749ABB43"/>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4">
    <w:nsid w:val="3DC240F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5">
    <w:nsid w:val="1BA026F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6">
    <w:nsid w:val="79A1DEAA"/>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7">
    <w:nsid w:val="75C6C33A"/>
    <w:multiLevelType w:val="hybridMultilevel"/>
    <w:lvl w:ilvl="0">
      <w:lvlJc w:val="left"/>
      <w:lvlText w:val="(%1)"/>
      <w:numFmt w:val="lowerLetter"/>
      <w:start w:val="8"/>
    </w:lvl>
  </w:abstractNum>
  <w:abstractNum w:abstractNumId="38">
    <w:nsid w:val="12E685FB"/>
    <w:multiLevelType w:val="hybridMultilevel"/>
    <w:lvl w:ilvl="0">
      <w:lvlJc w:val="left"/>
      <w:lvlText w:val="%1."/>
      <w:numFmt w:val="decimal"/>
      <w:start w:val="7"/>
    </w:lvl>
  </w:abstractNum>
  <w:abstractNum w:abstractNumId="39">
    <w:nsid w:val="70C6A529"/>
    <w:multiLevelType w:val="hybridMultilevel"/>
    <w:lvl w:ilvl="0">
      <w:lvlJc w:val="left"/>
      <w:lvlText w:val="(%1)"/>
      <w:numFmt w:val="lowerLetter"/>
      <w:start w:val="1"/>
    </w:lvl>
    <w:lvl w:ilvl="1">
      <w:lvlJc w:val="left"/>
      <w:lvlText w:val="-"/>
      <w:numFmt w:val="bullet"/>
      <w:start w:val="1"/>
    </w:lvl>
  </w:abstractNum>
  <w:abstractNum w:abstractNumId="40">
    <w:nsid w:val="520EEDD1"/>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1">
    <w:nsid w:val="374A3FE6"/>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42">
    <w:nsid w:val="4F4EF005"/>
    <w:multiLevelType w:val="hybridMultilevel"/>
    <w:lvl w:ilvl="0">
      <w:lvlJc w:val="left"/>
      <w:lvlText w:val="(%1)"/>
      <w:numFmt w:val="lowerLetter"/>
      <w:start w:val="4"/>
    </w:lvl>
    <w:lvl w:ilvl="1">
      <w:lvlJc w:val="left"/>
      <w:lvlText w:val="-"/>
      <w:numFmt w:val="bullet"/>
      <w:start w:val="1"/>
    </w:lvl>
  </w:abstractNum>
  <w:abstractNum w:abstractNumId="43">
    <w:nsid w:val="23F9C13C"/>
    <w:multiLevelType w:val="hybridMultilevel"/>
    <w:lvl w:ilvl="0">
      <w:lvlJc w:val="left"/>
      <w:lvlText w:val="(%1)"/>
      <w:numFmt w:val="lowerLetter"/>
      <w:start w:val="6"/>
    </w:lvl>
  </w:abstractNum>
  <w:abstractNum w:abstractNumId="44">
    <w:nsid w:val="649BB77C"/>
    <w:multiLevelType w:val="hybridMultilevel"/>
    <w:lvl w:ilvl="0">
      <w:lvlJc w:val="left"/>
      <w:lvlText w:val="%1."/>
      <w:numFmt w:val="decimal"/>
      <w:start w:val="8"/>
    </w:lvl>
  </w:abstractNum>
  <w:abstractNum w:abstractNumId="45">
    <w:nsid w:val="275AC794"/>
    <w:multiLevelType w:val="hybridMultilevel"/>
    <w:lvl w:ilvl="0">
      <w:lvlJc w:val="left"/>
      <w:lvlText w:val="(%1)"/>
      <w:numFmt w:val="lowerLetter"/>
      <w:start w:val="1"/>
    </w:lvl>
    <w:lvl w:ilvl="1">
      <w:lvlJc w:val="left"/>
      <w:lvlText w:val="-"/>
      <w:numFmt w:val="bullet"/>
      <w:start w:val="1"/>
    </w:lvl>
  </w:abstractNum>
  <w:abstractNum w:abstractNumId="46">
    <w:nsid w:val="39386575"/>
    <w:multiLevelType w:val="hybridMultilevel"/>
    <w:lvl w:ilvl="0">
      <w:lvlJc w:val="left"/>
      <w:lvlText w:val="(%1)"/>
      <w:numFmt w:val="lowerLetter"/>
      <w:start w:val="2"/>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lowerRoman"/>
      <w:start w:val="10"/>
    </w:lvl>
    <w:lvl w:ilvl="1">
      <w:lvlJc w:val="left"/>
      <w:lvlText w:val="-"/>
      <w:numFmt w:val="bullet"/>
      <w:start w:val="1"/>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decimal"/>
      <w:start w:val="12"/>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2"/>
    </w:lvl>
  </w:abstractNum>
  <w:abstractNum w:abstractNumId="53">
    <w:nsid w:val="741226BB"/>
    <w:multiLevelType w:val="hybridMultilevel"/>
    <w:lvl w:ilvl="0">
      <w:lvlJc w:val="left"/>
      <w:lvlText w:val="(%1)"/>
      <w:numFmt w:val="lowerRoman"/>
      <w:start w:val="1"/>
    </w:lvl>
  </w:abstractNum>
  <w:abstractNum w:abstractNumId="54">
    <w:nsid w:val="D34B6A8"/>
    <w:multiLevelType w:val="hybridMultilevel"/>
    <w:lvl w:ilvl="0">
      <w:lvlJc w:val="left"/>
      <w:lvlText w:val="(%1)"/>
      <w:numFmt w:val="lowerRoman"/>
      <w:start w:val="1"/>
    </w:lvl>
  </w:abstractNum>
  <w:abstractNum w:abstractNumId="55">
    <w:nsid w:val="10233C99"/>
    <w:multiLevelType w:val="hybridMultilevel"/>
    <w:lvl w:ilvl="0">
      <w:lvlJc w:val="left"/>
      <w:lvlText w:val="(%1)"/>
      <w:numFmt w:val="lowerLetter"/>
      <w:start w:val="6"/>
    </w:lvl>
    <w:lvl w:ilvl="1">
      <w:lvlJc w:val="left"/>
      <w:lvlText w:val="-"/>
      <w:numFmt w:val="bullet"/>
      <w:start w:val="1"/>
    </w:lvl>
  </w:abstractNum>
  <w:abstractNum w:abstractNumId="56">
    <w:nsid w:val="3F6AB60F"/>
    <w:multiLevelType w:val="hybridMultilevel"/>
    <w:lvl w:ilvl="0">
      <w:lvlJc w:val="left"/>
      <w:lvlText w:val="(%1)"/>
      <w:numFmt w:val="lowerLetter"/>
      <w:start w:val="8"/>
    </w:lvl>
    <w:lvl w:ilvl="1">
      <w:lvlJc w:val="left"/>
      <w:lvlText w:val="-"/>
      <w:numFmt w:val="bullet"/>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2"/>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lowerLetter"/>
      <w:start w:val="1"/>
    </w:lvl>
    <w:lvl w:ilvl="1">
      <w:lvlJc w:val="left"/>
      <w:lvlText w:val="(%2)"/>
      <w:numFmt w:val="lowerRoman"/>
      <w:start w:val="1"/>
    </w:lvl>
  </w:abstractNum>
  <w:abstractNum w:abstractNumId="61">
    <w:nsid w:val="310C50B3"/>
    <w:multiLevelType w:val="hybridMultilevel"/>
    <w:lvl w:ilvl="0">
      <w:lvlJc w:val="left"/>
      <w:lvlText w:val="(%1)"/>
      <w:numFmt w:val="lowerRoman"/>
      <w:start w:val="12"/>
    </w:lvl>
  </w:abstractNum>
  <w:abstractNum w:abstractNumId="62">
    <w:nsid w:val="5FF87E05"/>
    <w:multiLevelType w:val="hybridMultilevel"/>
    <w:lvl w:ilvl="0">
      <w:lvlJc w:val="left"/>
      <w:lvlText w:val="(%1)"/>
      <w:numFmt w:val="lowerLetter"/>
      <w:start w:val="2"/>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2026-05-06T07:11:57Z</dcterms:created>
  <dcterms:modified xsi:type="dcterms:W3CDTF">2026-05-06T07:11:57Z</dcterms:modified>
</cp:coreProperties>
</file>