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820" w:hanging="77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302" w:lineRule="exact"/>
        <w:rPr>
          <w:rFonts w:ascii="MS PGothic" w:cs="MS PGothic" w:eastAsia="MS PGothic" w:hAnsi="MS PGothic"/>
          <w:sz w:val="18"/>
          <w:szCs w:val="18"/>
          <w:color w:val="auto"/>
        </w:rPr>
      </w:pPr>
    </w:p>
    <w:p>
      <w:pPr>
        <w:ind w:left="820" w:hanging="77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10" w:lineRule="exact"/>
        <w:rPr>
          <w:rFonts w:ascii="MS PGothic" w:cs="MS PGothic" w:eastAsia="MS PGothic" w:hAnsi="MS PGothic"/>
          <w:sz w:val="18"/>
          <w:szCs w:val="18"/>
          <w:color w:val="auto"/>
        </w:rPr>
      </w:pPr>
    </w:p>
    <w:p>
      <w:pPr>
        <w:ind w:left="820" w:hanging="77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06" w:lineRule="exact"/>
        <w:rPr>
          <w:sz w:val="24"/>
          <w:szCs w:val="24"/>
          <w:color w:val="auto"/>
        </w:rPr>
      </w:pPr>
    </w:p>
    <w:p>
      <w:pPr>
        <w:ind w:left="820" w:hanging="772"/>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06" w:lineRule="exact"/>
        <w:rPr>
          <w:sz w:val="24"/>
          <w:szCs w:val="24"/>
          <w:color w:val="auto"/>
        </w:rPr>
      </w:pPr>
    </w:p>
    <w:p>
      <w:pPr>
        <w:ind w:left="820" w:hanging="772"/>
        <w:spacing w:after="0"/>
        <w:tabs>
          <w:tab w:leader="none" w:pos="8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27940</wp:posOffset>
            </wp:positionV>
            <wp:extent cx="7080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6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66" w:lineRule="exact"/>
        <w:rPr>
          <w:sz w:val="24"/>
          <w:szCs w:val="24"/>
          <w:color w:val="auto"/>
        </w:rPr>
      </w:pPr>
    </w:p>
    <w:p>
      <w:pPr>
        <w:ind w:left="700" w:hanging="652"/>
        <w:spacing w:after="0"/>
        <w:tabs>
          <w:tab w:leader="none" w:pos="7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06" w:lineRule="exact"/>
        <w:rPr>
          <w:sz w:val="24"/>
          <w:szCs w:val="24"/>
          <w:color w:val="auto"/>
        </w:rPr>
      </w:pPr>
    </w:p>
    <w:p>
      <w:pPr>
        <w:ind w:left="700" w:hanging="652"/>
        <w:spacing w:after="0"/>
        <w:tabs>
          <w:tab w:leader="none" w:pos="7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06" w:lineRule="exact"/>
        <w:rPr>
          <w:rFonts w:ascii="MS PGothic" w:cs="MS PGothic" w:eastAsia="MS PGothic" w:hAnsi="MS PGothic"/>
          <w:sz w:val="18"/>
          <w:szCs w:val="18"/>
          <w:color w:val="auto"/>
        </w:rPr>
      </w:pPr>
    </w:p>
    <w:p>
      <w:pPr>
        <w:ind w:left="700" w:hanging="652"/>
        <w:spacing w:after="0"/>
        <w:tabs>
          <w:tab w:leader="none" w:pos="7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1 DATED DECEMBER 3,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 Special Annual Meeting of Stockholders (the “</w:t>
      </w:r>
      <w:r>
        <w:rPr>
          <w:rFonts w:ascii="Times New Roman" w:cs="Times New Roman" w:eastAsia="Times New Roman" w:hAnsi="Times New Roman"/>
          <w:sz w:val="18"/>
          <w:szCs w:val="18"/>
          <w:b w:val="1"/>
          <w:bCs w:val="1"/>
          <w:color w:val="auto"/>
        </w:rPr>
        <w:t>Special Annual Meeting</w:t>
      </w:r>
      <w:r>
        <w:rPr>
          <w:rFonts w:ascii="Times New Roman" w:cs="Times New Roman" w:eastAsia="Times New Roman" w:hAnsi="Times New Roman"/>
          <w:sz w:val="18"/>
          <w:szCs w:val="18"/>
          <w:color w:val="auto"/>
        </w:rPr>
        <w:t>”) of BurTech Acquisition Corp.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BurTech</w:t>
      </w:r>
      <w:r>
        <w:rPr>
          <w:rFonts w:ascii="Times New Roman" w:cs="Times New Roman" w:eastAsia="Times New Roman" w:hAnsi="Times New Roman"/>
          <w:sz w:val="18"/>
          <w:szCs w:val="18"/>
          <w:color w:val="auto"/>
        </w:rPr>
        <w:t xml:space="preserve">”), a Delaware corporation, will still be held on December 9, 2024, at 11:30 a.m. Eastern Time. You can access information about the meeting at: </w:t>
      </w:r>
      <w:r>
        <w:rPr>
          <w:rFonts w:ascii="Times New Roman" w:cs="Times New Roman" w:eastAsia="Times New Roman" w:hAnsi="Times New Roman"/>
          <w:sz w:val="18"/>
          <w:szCs w:val="18"/>
          <w:u w:val="single" w:color="auto"/>
          <w:color w:val="0000FF"/>
        </w:rPr>
        <w:t>https://www.cstproxy.com/burtechacq/ext2024</w:t>
      </w:r>
      <w:r>
        <w:rPr>
          <w:rFonts w:ascii="Times New Roman" w:cs="Times New Roman" w:eastAsia="Times New Roman" w:hAnsi="Times New Roman"/>
          <w:sz w:val="18"/>
          <w:szCs w:val="18"/>
          <w:color w:val="000000"/>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be holding the Special Annual Meeting via teleconference using the following dial-in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Toll Free: 877 853 5257 (US Toll Free)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International Toll: </w:t>
      </w:r>
      <w:r>
        <w:rPr>
          <w:rFonts w:ascii="Times New Roman" w:cs="Times New Roman" w:eastAsia="Times New Roman" w:hAnsi="Times New Roman"/>
          <w:sz w:val="18"/>
          <w:szCs w:val="18"/>
          <w:u w:val="single" w:color="auto"/>
          <w:color w:val="0000FF"/>
        </w:rPr>
        <w:t>https://loeb.zoom.us/u/adQ6mRS26y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271 031 2926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THE DEFINITIVE PROXY STATEMENT</w:t>
      </w:r>
    </w:p>
    <w:p>
      <w:pPr>
        <w:spacing w:after="0" w:line="225" w:lineRule="exact"/>
        <w:rPr>
          <w:sz w:val="20"/>
          <w:szCs w:val="20"/>
          <w:color w:val="auto"/>
        </w:rPr>
      </w:pPr>
    </w:p>
    <w:p>
      <w:pPr>
        <w:jc w:val="both"/>
        <w:ind w:firstLine="607"/>
        <w:spacing w:after="0" w:line="259" w:lineRule="auto"/>
        <w:rPr>
          <w:sz w:val="20"/>
          <w:szCs w:val="20"/>
          <w:color w:val="auto"/>
        </w:rPr>
      </w:pPr>
      <w:r>
        <w:rPr>
          <w:rFonts w:ascii="Times New Roman" w:cs="Times New Roman" w:eastAsia="Times New Roman" w:hAnsi="Times New Roman"/>
          <w:sz w:val="18"/>
          <w:szCs w:val="18"/>
          <w:i w:val="1"/>
          <w:iCs w:val="1"/>
          <w:color w:val="auto"/>
        </w:rPr>
        <w:t>This supplement No. 1 (“</w:t>
      </w:r>
      <w:r>
        <w:rPr>
          <w:rFonts w:ascii="Times New Roman" w:cs="Times New Roman" w:eastAsia="Times New Roman" w:hAnsi="Times New Roman"/>
          <w:sz w:val="18"/>
          <w:szCs w:val="18"/>
          <w:b w:val="1"/>
          <w:bCs w:val="1"/>
          <w:i w:val="1"/>
          <w:iCs w:val="1"/>
          <w:color w:val="auto"/>
        </w:rPr>
        <w:t>Supplement No.1</w:t>
      </w:r>
      <w:r>
        <w:rPr>
          <w:rFonts w:ascii="Times New Roman" w:cs="Times New Roman" w:eastAsia="Times New Roman" w:hAnsi="Times New Roman"/>
          <w:sz w:val="18"/>
          <w:szCs w:val="18"/>
          <w:i w:val="1"/>
          <w:iCs w:val="1"/>
          <w:color w:val="auto"/>
        </w:rPr>
        <w:t>”) contains additional information that supplements the Proxy Statement and we urge you to read this Supplement together with the Proxy Statement and the previous supplement filed on November 14, 2024 (“</w:t>
      </w:r>
      <w:r>
        <w:rPr>
          <w:rFonts w:ascii="Times New Roman" w:cs="Times New Roman" w:eastAsia="Times New Roman" w:hAnsi="Times New Roman"/>
          <w:sz w:val="18"/>
          <w:szCs w:val="18"/>
          <w:b w:val="1"/>
          <w:bCs w:val="1"/>
          <w:i w:val="1"/>
          <w:iCs w:val="1"/>
          <w:color w:val="auto"/>
        </w:rPr>
        <w:t>Supplement No.1</w:t>
      </w:r>
      <w:r>
        <w:rPr>
          <w:rFonts w:ascii="Times New Roman" w:cs="Times New Roman" w:eastAsia="Times New Roman" w:hAnsi="Times New Roman"/>
          <w:sz w:val="18"/>
          <w:szCs w:val="18"/>
          <w:i w:val="1"/>
          <w:iCs w:val="1"/>
          <w:color w:val="auto"/>
        </w:rPr>
        <w:t>”). To the extent that the information set forth herein differs from or updates information contained in the Proxy Statement, the information set forth herein shall supersede or supplement the information in the Proxy Statement. Defined terms used but not defined herein have the meanings set forth in the Proxy Statement and all page references are to pages in the Proxy Statement.</w:t>
      </w:r>
    </w:p>
    <w:p>
      <w:pPr>
        <w:spacing w:after="0" w:line="179" w:lineRule="exact"/>
        <w:rPr>
          <w:sz w:val="20"/>
          <w:szCs w:val="20"/>
          <w:color w:val="auto"/>
        </w:rPr>
      </w:pPr>
    </w:p>
    <w:p>
      <w:pPr>
        <w:ind w:left="3860" w:right="20" w:hanging="3217"/>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MAKES THE FOLLOWING AMENDED AND SUPPLEMENTAL DISCLOSURES TO PROPOSAL 2 – THE TRUST AMENDMENT PROPOSAL AS FOLLOWS:</w:t>
      </w:r>
    </w:p>
    <w:p>
      <w:pPr>
        <w:spacing w:after="0" w:line="155" w:lineRule="exact"/>
        <w:rPr>
          <w:sz w:val="20"/>
          <w:szCs w:val="20"/>
          <w:color w:val="auto"/>
        </w:rPr>
      </w:pPr>
    </w:p>
    <w:p>
      <w:pPr>
        <w:jc w:val="both"/>
        <w:ind w:firstLine="8"/>
        <w:spacing w:after="0" w:line="259" w:lineRule="auto"/>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TRUST AMENDMENT PROPOSAL</w:t>
      </w:r>
      <w:r>
        <w:rPr>
          <w:rFonts w:ascii="Times New Roman" w:cs="Times New Roman" w:eastAsia="Times New Roman" w:hAnsi="Times New Roman"/>
          <w:sz w:val="18"/>
          <w:szCs w:val="18"/>
          <w:color w:val="auto"/>
        </w:rPr>
        <w:t>: A proposal to amend BurTech’s investment management trust agreement,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15, 2021, as amended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allowing the Company to extend the Extended Termination Date from, December 15, 2024 until May 15, 2025, on a month-to-month basis (each such monthly extension, an “</w:t>
      </w:r>
      <w:r>
        <w:rPr>
          <w:rFonts w:ascii="Times New Roman" w:cs="Times New Roman" w:eastAsia="Times New Roman" w:hAnsi="Times New Roman"/>
          <w:sz w:val="18"/>
          <w:szCs w:val="18"/>
          <w:b w:val="1"/>
          <w:bCs w:val="1"/>
          <w:color w:val="auto"/>
        </w:rPr>
        <w:t>Extension Period</w:t>
      </w:r>
      <w:r>
        <w:rPr>
          <w:rFonts w:ascii="Times New Roman" w:cs="Times New Roman" w:eastAsia="Times New Roman" w:hAnsi="Times New Roman"/>
          <w:sz w:val="18"/>
          <w:szCs w:val="18"/>
          <w:color w:val="auto"/>
        </w:rPr>
        <w:t>”), by depositing into the Trust Account $0.05 per non-redeemed share of Class A Common Stock (each an “</w:t>
      </w:r>
      <w:r>
        <w:rPr>
          <w:rFonts w:ascii="Times New Roman" w:cs="Times New Roman" w:eastAsia="Times New Roman" w:hAnsi="Times New Roman"/>
          <w:sz w:val="18"/>
          <w:szCs w:val="18"/>
          <w:b w:val="1"/>
          <w:bCs w:val="1"/>
          <w:color w:val="auto"/>
        </w:rPr>
        <w:t>Extension Payment</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b w:val="1"/>
          <w:bCs w:val="1"/>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file a current report on Form 8-K with each monthly Extension Period, and will contribute the $0.05 per non-redeemed public share per month to extend the time to complete the Proposed Business Combination until May 15, 2025 on a month-to-month basis, commencing on the 15th day of each monthly Extension Period until the earlier of (x) the date of the special meeting held in connection with a stockholder vote to approve its initial business combination; (y) the last Extension Period for which an extension payment is made. The funds will continue to be held in the Trust Account which will maintain the investment of the Company’s trust assets in money market investment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29, 2024, the redemption price per Class A Common Stock was approximately $11.49 (which is expected to be the same approximate amount on December 5, 2024, two (2) business days prior to the scheduled date of the Special Annual Meeting), based on the aggregate amount on deposit in the Trust Account which was $50,553,848.13 as of November 29, 2024 (including interest), and after deducting approximately $621,274 to pay allowable taxes, will be approximately $49,932,574.13, which will be divided by the total number of issued and outstanding public shares of Class A Common Stock. The closing price of the Class A Common Stock on Nasdaq on December 2, 2024 was $11.50.</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Funds held in BurTech’s Trust Account, including any interest, will not be used to pay for any excise tax liabilities with respect to any future redemptions prior to or in connection with any extension,Business Combination or the liquidation of BurTech.</w:t>
      </w:r>
    </w:p>
    <w:p>
      <w:pPr>
        <w:spacing w:after="0" w:line="150"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color w:val="auto"/>
        </w:rPr>
        <w:t>The Company cannot assure shareholders that they will be able to sell their Class A Common Stock in the open market, even if the market price per Class A Common Stock is lower than the redemption price stated above, as there may not be sufficient liquidity in its securities when such shareholders wish to sell their Class A Common Stock. The Company believes that such redemption right enables its holders of Class A Common Stock to determine whether to sustain their investments for an additional period if the Company does not complete a Business Combination on or before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231F20"/>
        </w:rPr>
        <w:t>AMENDMENT NO. 3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INVESTMENT MANAGEMENT TRUST AGREEMENT</w:t>
      </w:r>
    </w:p>
    <w:p>
      <w:pPr>
        <w:spacing w:after="0" w:line="203" w:lineRule="exact"/>
        <w:rPr>
          <w:sz w:val="20"/>
          <w:szCs w:val="20"/>
          <w:color w:val="auto"/>
        </w:rPr>
      </w:pPr>
    </w:p>
    <w:p>
      <w:pPr>
        <w:ind w:right="140" w:firstLine="359"/>
        <w:spacing w:after="0" w:line="268" w:lineRule="auto"/>
        <w:rPr>
          <w:sz w:val="20"/>
          <w:szCs w:val="20"/>
          <w:color w:val="auto"/>
        </w:rPr>
      </w:pPr>
      <w:r>
        <w:rPr>
          <w:rFonts w:ascii="Times New Roman" w:cs="Times New Roman" w:eastAsia="Times New Roman" w:hAnsi="Times New Roman"/>
          <w:sz w:val="18"/>
          <w:szCs w:val="18"/>
          <w:color w:val="231F20"/>
        </w:rPr>
        <w:t>This Amendment No. 3 (this “</w:t>
      </w:r>
      <w:r>
        <w:rPr>
          <w:rFonts w:ascii="Times New Roman" w:cs="Times New Roman" w:eastAsia="Times New Roman" w:hAnsi="Times New Roman"/>
          <w:sz w:val="18"/>
          <w:szCs w:val="18"/>
          <w:b w:val="1"/>
          <w:bCs w:val="1"/>
          <w:color w:val="231F20"/>
        </w:rPr>
        <w:t>Amendment</w:t>
      </w:r>
      <w:r>
        <w:rPr>
          <w:rFonts w:ascii="Times New Roman" w:cs="Times New Roman" w:eastAsia="Times New Roman" w:hAnsi="Times New Roman"/>
          <w:sz w:val="18"/>
          <w:szCs w:val="18"/>
          <w:color w:val="231F20"/>
        </w:rPr>
        <w:t>”), dated as of December 09, 2024, to the Investment Management Trust Agreement (as defined below) is made by and between BurTech Acquisition Corp.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and Continental Stock Transfer &amp; Trust Company, as trustee (“</w:t>
      </w:r>
      <w:r>
        <w:rPr>
          <w:rFonts w:ascii="Times New Roman" w:cs="Times New Roman" w:eastAsia="Times New Roman" w:hAnsi="Times New Roman"/>
          <w:sz w:val="18"/>
          <w:szCs w:val="18"/>
          <w:b w:val="1"/>
          <w:bCs w:val="1"/>
          <w:color w:val="231F20"/>
        </w:rPr>
        <w:t>Trustee</w:t>
      </w:r>
      <w:r>
        <w:rPr>
          <w:rFonts w:ascii="Times New Roman" w:cs="Times New Roman" w:eastAsia="Times New Roman" w:hAnsi="Times New Roman"/>
          <w:sz w:val="18"/>
          <w:szCs w:val="18"/>
          <w:color w:val="231F20"/>
        </w:rPr>
        <w:t>”). All terms used but not defined herein shall have the meanings assigned to them in the Trust Agreement.</w:t>
      </w:r>
    </w:p>
    <w:p>
      <w:pPr>
        <w:spacing w:after="0" w:line="171" w:lineRule="exact"/>
        <w:rPr>
          <w:sz w:val="20"/>
          <w:szCs w:val="20"/>
          <w:color w:val="auto"/>
        </w:rPr>
      </w:pPr>
    </w:p>
    <w:p>
      <w:pPr>
        <w:ind w:right="700" w:firstLine="359"/>
        <w:spacing w:after="0" w:line="286" w:lineRule="auto"/>
        <w:rPr>
          <w:sz w:val="20"/>
          <w:szCs w:val="20"/>
          <w:color w:val="auto"/>
        </w:rPr>
      </w:pPr>
      <w:r>
        <w:rPr>
          <w:rFonts w:ascii="Times New Roman" w:cs="Times New Roman" w:eastAsia="Times New Roman" w:hAnsi="Times New Roman"/>
          <w:sz w:val="18"/>
          <w:szCs w:val="18"/>
          <w:b w:val="1"/>
          <w:bCs w:val="1"/>
          <w:color w:val="231F20"/>
        </w:rPr>
        <w:t>WHEREAS</w:t>
      </w:r>
      <w:r>
        <w:rPr>
          <w:rFonts w:ascii="Times New Roman" w:cs="Times New Roman" w:eastAsia="Times New Roman" w:hAnsi="Times New Roman"/>
          <w:sz w:val="18"/>
          <w:szCs w:val="18"/>
          <w:color w:val="231F20"/>
        </w:rPr>
        <w:t>, the Company and the Trustee entered into an Investment Management Trust Agreement on December 10, 2021, as amended on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March 10, 2023 and December 11, 2023 (the “</w:t>
      </w:r>
      <w:r>
        <w:rPr>
          <w:rFonts w:ascii="Times New Roman" w:cs="Times New Roman" w:eastAsia="Times New Roman" w:hAnsi="Times New Roman"/>
          <w:sz w:val="18"/>
          <w:szCs w:val="18"/>
          <w:b w:val="1"/>
          <w:bCs w:val="1"/>
          <w:color w:val="231F20"/>
        </w:rPr>
        <w:t>Trust Agreement</w:t>
      </w:r>
      <w:r>
        <w:rPr>
          <w:rFonts w:ascii="Times New Roman" w:cs="Times New Roman" w:eastAsia="Times New Roman" w:hAnsi="Times New Roman"/>
          <w:sz w:val="18"/>
          <w:szCs w:val="18"/>
          <w:color w:val="231F20"/>
        </w:rPr>
        <w:t>”);</w:t>
      </w:r>
    </w:p>
    <w:p>
      <w:pPr>
        <w:spacing w:after="0" w:line="155" w:lineRule="exact"/>
        <w:rPr>
          <w:sz w:val="20"/>
          <w:szCs w:val="20"/>
          <w:color w:val="auto"/>
        </w:rPr>
      </w:pPr>
    </w:p>
    <w:p>
      <w:pPr>
        <w:ind w:right="620" w:firstLine="359"/>
        <w:spacing w:after="0" w:line="286" w:lineRule="auto"/>
        <w:rPr>
          <w:sz w:val="20"/>
          <w:szCs w:val="20"/>
          <w:color w:val="auto"/>
        </w:rPr>
      </w:pPr>
      <w:r>
        <w:rPr>
          <w:rFonts w:ascii="Times New Roman" w:cs="Times New Roman" w:eastAsia="Times New Roman" w:hAnsi="Times New Roman"/>
          <w:sz w:val="18"/>
          <w:szCs w:val="18"/>
          <w:b w:val="1"/>
          <w:bCs w:val="1"/>
          <w:color w:val="231F20"/>
        </w:rPr>
        <w:t>WHEREAS</w:t>
      </w:r>
      <w:r>
        <w:rPr>
          <w:rFonts w:ascii="Times New Roman" w:cs="Times New Roman" w:eastAsia="Times New Roman" w:hAnsi="Times New Roman"/>
          <w:sz w:val="18"/>
          <w:szCs w:val="18"/>
          <w:color w:val="231F20"/>
        </w:rPr>
        <w:t>, Section 1(i) of the Trust Agreement sets forth the terms that govern the liquidation of the Trust Account under the circumstances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described therein;</w:t>
      </w:r>
    </w:p>
    <w:p>
      <w:pPr>
        <w:spacing w:after="0" w:line="155" w:lineRule="exact"/>
        <w:rPr>
          <w:sz w:val="20"/>
          <w:szCs w:val="20"/>
          <w:color w:val="auto"/>
        </w:rPr>
      </w:pPr>
    </w:p>
    <w:p>
      <w:pPr>
        <w:ind w:right="20" w:firstLine="359"/>
        <w:spacing w:after="0" w:line="268" w:lineRule="auto"/>
        <w:rPr>
          <w:sz w:val="20"/>
          <w:szCs w:val="20"/>
          <w:color w:val="auto"/>
        </w:rPr>
      </w:pPr>
      <w:r>
        <w:rPr>
          <w:rFonts w:ascii="Times New Roman" w:cs="Times New Roman" w:eastAsia="Times New Roman" w:hAnsi="Times New Roman"/>
          <w:sz w:val="18"/>
          <w:szCs w:val="18"/>
          <w:b w:val="1"/>
          <w:bCs w:val="1"/>
          <w:color w:val="231F20"/>
        </w:rPr>
        <w:t>WHEREAS</w:t>
      </w:r>
      <w:r>
        <w:rPr>
          <w:rFonts w:ascii="Times New Roman" w:cs="Times New Roman" w:eastAsia="Times New Roman" w:hAnsi="Times New Roman"/>
          <w:sz w:val="18"/>
          <w:szCs w:val="18"/>
          <w:color w:val="231F20"/>
        </w:rPr>
        <w:t>, at a Special Annual Meeting of the Company held on December 09, 2024, the Company’s stockholders approved (i) a proposal to amend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the Company’s second amended and restated certificate of incorporation (the “</w:t>
      </w:r>
      <w:r>
        <w:rPr>
          <w:rFonts w:ascii="Times New Roman" w:cs="Times New Roman" w:eastAsia="Times New Roman" w:hAnsi="Times New Roman"/>
          <w:sz w:val="18"/>
          <w:szCs w:val="18"/>
          <w:b w:val="1"/>
          <w:bCs w:val="1"/>
          <w:color w:val="231F20"/>
        </w:rPr>
        <w:t>3rd A&amp;R COI</w:t>
      </w:r>
      <w:r>
        <w:rPr>
          <w:rFonts w:ascii="Times New Roman" w:cs="Times New Roman" w:eastAsia="Times New Roman" w:hAnsi="Times New Roman"/>
          <w:sz w:val="18"/>
          <w:szCs w:val="18"/>
          <w:color w:val="231F20"/>
        </w:rPr>
        <w:t>”) giving the Company the right to extend the date by which it has to consummate a business combination until May 15, 2025; and</w:t>
      </w:r>
    </w:p>
    <w:p>
      <w:pPr>
        <w:spacing w:after="0" w:line="175" w:lineRule="exact"/>
        <w:rPr>
          <w:sz w:val="20"/>
          <w:szCs w:val="20"/>
          <w:color w:val="auto"/>
        </w:rPr>
      </w:pPr>
    </w:p>
    <w:p>
      <w:pPr>
        <w:ind w:left="1020" w:hanging="265"/>
        <w:spacing w:after="0"/>
        <w:tabs>
          <w:tab w:leader="none" w:pos="1020" w:val="left"/>
        </w:tabs>
        <w:numPr>
          <w:ilvl w:val="1"/>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NOW THEREFORE, IT IS AGREED:</w:t>
      </w:r>
    </w:p>
    <w:p>
      <w:pPr>
        <w:spacing w:after="0" w:line="225" w:lineRule="exact"/>
        <w:rPr>
          <w:rFonts w:ascii="Times New Roman" w:cs="Times New Roman" w:eastAsia="Times New Roman" w:hAnsi="Times New Roman"/>
          <w:sz w:val="18"/>
          <w:szCs w:val="18"/>
          <w:color w:val="010000"/>
        </w:rPr>
      </w:pPr>
    </w:p>
    <w:p>
      <w:pPr>
        <w:ind w:left="620" w:hanging="167"/>
        <w:spacing w:after="0"/>
        <w:tabs>
          <w:tab w:leader="none" w:pos="6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Section 1(i) of the Trust Agreement is hereby amended and restated in its entirety as follows:</w:t>
      </w:r>
    </w:p>
    <w:p>
      <w:pPr>
        <w:spacing w:after="0" w:line="225" w:lineRule="exact"/>
        <w:rPr>
          <w:sz w:val="20"/>
          <w:szCs w:val="20"/>
          <w:color w:val="auto"/>
        </w:rPr>
      </w:pPr>
    </w:p>
    <w:p>
      <w:pPr>
        <w:jc w:val="both"/>
        <w:ind w:firstLine="359"/>
        <w:spacing w:after="0" w:line="253" w:lineRule="auto"/>
        <w:rPr>
          <w:sz w:val="20"/>
          <w:szCs w:val="20"/>
          <w:color w:val="auto"/>
        </w:rPr>
      </w:pPr>
      <w:r>
        <w:rPr>
          <w:rFonts w:ascii="Times New Roman" w:cs="Times New Roman" w:eastAsia="Times New Roman" w:hAnsi="Times New Roman"/>
          <w:sz w:val="18"/>
          <w:szCs w:val="18"/>
          <w:color w:val="231F20"/>
        </w:rPr>
        <w:t>“(i) Commence liquidation of the Trust Account only after and promptly after receipt of, and only in accordance with, the terms of a letter (“</w:t>
      </w:r>
      <w:r>
        <w:rPr>
          <w:rFonts w:ascii="Times New Roman" w:cs="Times New Roman" w:eastAsia="Times New Roman" w:hAnsi="Times New Roman"/>
          <w:sz w:val="18"/>
          <w:szCs w:val="18"/>
          <w:u w:val="single" w:color="auto"/>
          <w:color w:val="231F20"/>
        </w:rPr>
        <w:t>Termination Letter</w:t>
      </w:r>
      <w:r>
        <w:rPr>
          <w:rFonts w:ascii="Times New Roman" w:cs="Times New Roman" w:eastAsia="Times New Roman" w:hAnsi="Times New Roman"/>
          <w:sz w:val="18"/>
          <w:szCs w:val="18"/>
          <w:color w:val="231F20"/>
        </w:rPr>
        <w:t xml:space="preserve">”),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before the date the Company has extended to complete the Business Combination, </w:t>
      </w:r>
      <w:r>
        <w:rPr>
          <w:rFonts w:ascii="Times New Roman" w:cs="Times New Roman" w:eastAsia="Times New Roman" w:hAnsi="Times New Roman"/>
          <w:sz w:val="18"/>
          <w:szCs w:val="18"/>
          <w:color w:val="000000"/>
        </w:rPr>
        <w:t>by depositing into the Trust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Account an extension payment (the “</w:t>
      </w:r>
      <w:r>
        <w:rPr>
          <w:rFonts w:ascii="Times New Roman" w:cs="Times New Roman" w:eastAsia="Times New Roman" w:hAnsi="Times New Roman"/>
          <w:sz w:val="18"/>
          <w:szCs w:val="18"/>
          <w:b w:val="1"/>
          <w:bCs w:val="1"/>
          <w:color w:val="000000"/>
        </w:rPr>
        <w:t>Extension Payment</w:t>
      </w:r>
      <w:r>
        <w:rPr>
          <w:rFonts w:ascii="Times New Roman" w:cs="Times New Roman" w:eastAsia="Times New Roman" w:hAnsi="Times New Roman"/>
          <w:sz w:val="18"/>
          <w:szCs w:val="18"/>
          <w:color w:val="000000"/>
        </w:rPr>
        <w:t>”) of $0.05 per non-redeemed share on a month-to-month basis (each such monthly extension, an “</w:t>
      </w:r>
      <w:r>
        <w:rPr>
          <w:rFonts w:ascii="Times New Roman" w:cs="Times New Roman" w:eastAsia="Times New Roman" w:hAnsi="Times New Roman"/>
          <w:sz w:val="18"/>
          <w:szCs w:val="18"/>
          <w:b w:val="1"/>
          <w:bCs w:val="1"/>
          <w:color w:val="000000"/>
        </w:rPr>
        <w:t>Extension Period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beginning on December 15, 2024 and continuing each month up to May 15, 2025 (the “</w:t>
      </w:r>
      <w:r>
        <w:rPr>
          <w:rFonts w:ascii="Times New Roman" w:cs="Times New Roman" w:eastAsia="Times New Roman" w:hAnsi="Times New Roman"/>
          <w:sz w:val="18"/>
          <w:szCs w:val="18"/>
          <w:b w:val="1"/>
          <w:bCs w:val="1"/>
          <w:color w:val="231F20"/>
        </w:rPr>
        <w:t>Last Date</w:t>
      </w:r>
      <w:r>
        <w:rPr>
          <w:rFonts w:ascii="Times New Roman" w:cs="Times New Roman" w:eastAsia="Times New Roman" w:hAnsi="Times New Roman"/>
          <w:sz w:val="18"/>
          <w:szCs w:val="18"/>
          <w:color w:val="231F20"/>
        </w:rPr>
        <w:t>”), the Trust Account shall be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liquidated in accordance with the procedures set forth in the Termination Letter attached as Exhibit B hereto and distributed to the Public Stockholders as of the Last Date. For example, if during the an Extension Period, the Company does not deposit the Extension Payment into the Trust Account by the 15th day of the month for the next Extension Period, then the Last Date shall be the last day of that month.”</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IN WITNESS WHEREOF, the parties have duly executed this Agreement as of the date first written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CONTINENTAL STOCK TRANSFER &amp;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TRUST COMPANY, as Trustee</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By: /s/ Francis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31F20"/>
        </w:rPr>
        <w:t>Name: Francis Wolf</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31F20"/>
        </w:rPr>
        <w:t>Title: Vice President</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BURTECH ACQUISITION CORP.</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31F20"/>
        </w:rPr>
        <w:t>Name: Shahal Khan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31F20"/>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color w:val="auto"/>
        </w:rPr>
        <w:t>— END OF SUPPLEMENT TO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590550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2024-12-03T13:20:58Z</dcterms:created>
  <dcterms:modified xsi:type="dcterms:W3CDTF">2024-12-03T13:20:58Z</dcterms:modified>
</cp:coreProperties>
</file>