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16, 2023 (October 11,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1"/>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20016</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ind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On October 11, 2023, BurTech Acquisition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received a notification letter (the “</w:t>
      </w:r>
      <w:r>
        <w:rPr>
          <w:rFonts w:ascii="Arial" w:cs="Arial" w:eastAsia="Arial" w:hAnsi="Arial"/>
          <w:sz w:val="18"/>
          <w:szCs w:val="18"/>
          <w:b w:val="1"/>
          <w:bCs w:val="1"/>
          <w:color w:val="auto"/>
        </w:rPr>
        <w:t>Notice</w:t>
      </w:r>
      <w:r>
        <w:rPr>
          <w:rFonts w:ascii="Arial" w:cs="Arial" w:eastAsia="Arial" w:hAnsi="Arial"/>
          <w:sz w:val="18"/>
          <w:szCs w:val="18"/>
          <w:color w:val="auto"/>
        </w:rPr>
        <w:t>”) from the Listing Qualifications Department of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xml:space="preserve">”) indicating that it was not in compliance with Nasdaq Listing Rule 5450(a)(2) (the </w:t>
      </w:r>
      <w:r>
        <w:rPr>
          <w:rFonts w:ascii="Arial" w:cs="Arial" w:eastAsia="Arial" w:hAnsi="Arial"/>
          <w:sz w:val="18"/>
          <w:szCs w:val="18"/>
          <w:b w:val="1"/>
          <w:bCs w:val="1"/>
          <w:color w:val="auto"/>
        </w:rPr>
        <w:t>“Listing Rule</w:t>
      </w:r>
      <w:r>
        <w:rPr>
          <w:rFonts w:ascii="Arial" w:cs="Arial" w:eastAsia="Arial" w:hAnsi="Arial"/>
          <w:sz w:val="18"/>
          <w:szCs w:val="18"/>
          <w:color w:val="auto"/>
        </w:rPr>
        <w:t>”) for failing to maintain a minimum of 400 Total Holders for continued listing, which is required by the Nasdaq Global Market.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plans to present its plan to regain compliance with the Listing Rule as soon as practicable, and in any event within the abovementioned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2023-10-16T08:31:11Z</dcterms:created>
  <dcterms:modified xsi:type="dcterms:W3CDTF">2023-10-16T08:31:11Z</dcterms:modified>
</cp:coreProperties>
</file>