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Shahal Khan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BurTech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Pennsylvania Ave NW, Suite 700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DC 20004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Dinakar Munagala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4659 Golden Foothill Parkway, Suite 206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 Dorado Hills, CA 95762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BurTech Acquisition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November 14,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333-280889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Shahal Khan and Dinakar Munagala: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any references to prior comments are to comments in our November 8,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4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Registration Statement on Form S-4 General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disclosures, including in the Letter to the Shareholders and on pages 35 and 256,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been revised to indicate that the new board will not be classified. However, page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B-4 of the Third Amended and Restated Certificate of Incorporation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Blaize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 and page G-5 of the Stockholder's Agreement appear to indicate that</w:t>
      </w:r>
    </w:p>
    <w:p>
      <w:pPr>
        <w:ind w:right="82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board will be classified. Please revise to reconcile your disclosures, and if you</w:t>
      </w: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have a classified board, revise your registration statement to indicate to which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each director belongs.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 and reissue. Please revise to explain in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greater, specific detail what services each of Jefferies and KeyBanc has actually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rendered in its engagement as "strategic advisor." For example, but not limited to,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what "structuring advice" was rendered, as disclosed on page 35.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file the related agreements as exhibits or provide your analysis as to why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not required to do so.</w:t>
      </w:r>
    </w:p>
    <w:p>
      <w:pPr>
        <w:ind w:right="223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removed disclosure throughout the registration statement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Stockholders' Agreement. As the Stockholders' Agreement appears to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still be an exhibit to the Merger Agreement and will be entered into in connection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the business combination, please return the previous disclosure or advise as to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this disclosure was removed.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Ownership of Certain Beneficial Owners and Management, page 277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our prior comment 4 and reissue. Please revise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identify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natural persons who have or share voting and/or dispositive powers over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held by each entity listed in each table. For example, the natural persons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voting and/or dispositive powers has not been provided for Temasek Holdings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(Private) Limited, and Patrick Orlando is not listed in Footnote 5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281.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legal opinion you file must opine on each transaction you are registering and each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security listed in the fee table. The legal opinion you filed opines only as to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223,232,050 shares of common stock of the Company. However, your registration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indicates you are offering public warrants, shares underlying the public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warrants, the issuance of 3,608,670 New Blaize shares upon vesting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RSUs,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29,134,886 shares of New Blaize Common Stock upon the exercise of the New Blaize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Options, and the resale of 15,559,232 shares of New Blaize Common Stock.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counsel revise the legal opinion to opine as to all transactions and securities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covered by this registration statement.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Kevin Stertzel at 202-551-3723 if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 contact Sarah Sidwell at 202-551-4733 or Geoffrey Kruczek at 202-551-3641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20" w:right="8239" w:hanging="112"/>
        <w:spacing w:after="0" w:line="268" w:lineRule="auto"/>
        <w:tabs>
          <w:tab w:leader="none" w:pos="64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Rajiv Khanna November 20,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Lynch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2025-01-03T23:13:53Z</dcterms:created>
  <dcterms:modified xsi:type="dcterms:W3CDTF">2025-01-03T23:13:53Z</dcterms:modified>
</cp:coreProperties>
</file>