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No. 2)*</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BurTech Acquisition Corp</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$0.0001 par value</w:t>
      </w:r>
    </w:p>
    <w:p>
      <w:pPr>
        <w:spacing w:after="0" w:line="1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2"/>
          <w:szCs w:val="22"/>
          <w:b w:val="1"/>
          <w:bCs w:val="1"/>
          <w:u w:val="single" w:color="auto"/>
          <w:color w:val="auto"/>
        </w:rPr>
        <w:t>123013104</w:t>
      </w:r>
    </w:p>
    <w:p>
      <w:pPr>
        <w:spacing w:after="0" w:line="1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2023</w:t>
      </w:r>
    </w:p>
    <w:p>
      <w:pPr>
        <w:spacing w:after="0" w:line="1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[_] Rule 13d-1(b)</w:t>
      </w:r>
    </w:p>
    <w:p>
      <w:pPr>
        <w:spacing w:after="0" w:line="206" w:lineRule="exact"/>
        <w:rPr>
          <w:sz w:val="24"/>
          <w:szCs w:val="24"/>
          <w:color w:val="auto"/>
        </w:rPr>
      </w:pPr>
    </w:p>
    <w:p>
      <w:pPr>
        <w:jc w:val="both"/>
        <w:ind w:left="660" w:right="8980" w:hanging="4"/>
        <w:spacing w:after="0" w:line="456" w:lineRule="auto"/>
        <w:tabs>
          <w:tab w:leader="none" w:pos="106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[_] Rule 13d-1(d)</w:t>
      </w: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2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740" w:type="dxa"/>
            <w:vAlign w:val="bottom"/>
            <w:tcBorders>
              <w:top w:val="single" w:sz="8" w:color="auto"/>
              <w:right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123013104</w:t>
            </w: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r>
    </w:tbl>
    <w:p>
      <w:pPr>
        <w:spacing w:after="0" w:line="234" w:lineRule="exact"/>
        <w:rPr>
          <w:sz w:val="20"/>
          <w:szCs w:val="20"/>
          <w:color w:val="auto"/>
        </w:rPr>
      </w:pPr>
    </w:p>
    <w:p>
      <w:pPr>
        <w:ind w:left="660" w:hanging="567"/>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5186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Saba Capital Management, L.P.</w:t>
      </w:r>
    </w:p>
    <w:p>
      <w:pPr>
        <w:spacing w:after="0" w:line="27" w:lineRule="exact"/>
        <w:rPr>
          <w:sz w:val="20"/>
          <w:szCs w:val="20"/>
          <w:color w:val="auto"/>
        </w:rPr>
      </w:pPr>
    </w:p>
    <w:p>
      <w:pPr>
        <w:ind w:left="660" w:hanging="567"/>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0" w:lineRule="exact"/>
        <w:rPr>
          <w:rFonts w:ascii="Times New Roman" w:cs="Times New Roman" w:eastAsia="Times New Roman" w:hAnsi="Times New Roman"/>
          <w:sz w:val="18"/>
          <w:szCs w:val="18"/>
          <w:b w:val="1"/>
          <w:bCs w:val="1"/>
          <w:color w:val="auto"/>
        </w:rPr>
      </w:pPr>
    </w:p>
    <w:p>
      <w:pPr>
        <w:ind w:left="1140" w:hanging="282"/>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160" w:hanging="302"/>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567"/>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sz w:val="20"/>
          <w:szCs w:val="20"/>
          <w:color w:val="auto"/>
        </w:rPr>
      </w:pPr>
    </w:p>
    <w:p>
      <w:pPr>
        <w:spacing w:after="0" w:line="246" w:lineRule="exact"/>
        <w:rPr>
          <w:sz w:val="20"/>
          <w:szCs w:val="20"/>
          <w:color w:val="auto"/>
        </w:rPr>
      </w:pPr>
    </w:p>
    <w:p>
      <w:pPr>
        <w:ind w:left="660" w:hanging="567"/>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b w:val="1"/>
          <w:bCs w:val="1"/>
          <w:color w:val="auto"/>
        </w:rPr>
        <w:t>Sole Voting Power</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vMerge w:val="continue"/>
          </w:tcPr>
          <w:p>
            <w:pPr>
              <w:spacing w:after="0"/>
              <w:rPr>
                <w:sz w:val="16"/>
                <w:szCs w:val="16"/>
                <w:color w:val="auto"/>
              </w:rPr>
            </w:pPr>
          </w:p>
        </w:tc>
        <w:tc>
          <w:tcPr>
            <w:tcW w:w="4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54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2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42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60" w:hanging="567"/>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60" w:right="3900" w:hanging="567"/>
        <w:spacing w:after="0" w:line="383"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(9) excludes certain shares (See Instructions) </w:t>
      </w:r>
      <w:r>
        <w:rPr>
          <w:rFonts w:ascii="Times New Roman" w:cs="Times New Roman" w:eastAsia="Times New Roman" w:hAnsi="Times New Roman"/>
          <w:sz w:val="18"/>
          <w:szCs w:val="18"/>
          <w:color w:val="auto"/>
        </w:rPr>
        <w:t>[ ]</w:t>
      </w:r>
    </w:p>
    <w:p>
      <w:pPr>
        <w:ind w:left="660" w:right="6780" w:hanging="567"/>
        <w:spacing w:after="0" w:line="383"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w:t>
      </w:r>
    </w:p>
    <w:p>
      <w:pPr>
        <w:ind w:left="660" w:right="7200" w:hanging="567"/>
        <w:spacing w:after="0" w:line="527"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PN; IA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2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740" w:type="dxa"/>
            <w:vAlign w:val="bottom"/>
            <w:tcBorders>
              <w:top w:val="single" w:sz="8" w:color="auto"/>
              <w:right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123013104</w:t>
            </w: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r>
    </w:tbl>
    <w:p>
      <w:pPr>
        <w:spacing w:after="0" w:line="234" w:lineRule="exact"/>
        <w:rPr>
          <w:sz w:val="20"/>
          <w:szCs w:val="20"/>
          <w:color w:val="auto"/>
        </w:rPr>
      </w:pPr>
    </w:p>
    <w:p>
      <w:pPr>
        <w:ind w:left="660" w:hanging="567"/>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518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Boaz R. Weinstein</w:t>
      </w:r>
    </w:p>
    <w:p>
      <w:pPr>
        <w:spacing w:after="0" w:line="27" w:lineRule="exact"/>
        <w:rPr>
          <w:sz w:val="20"/>
          <w:szCs w:val="20"/>
          <w:color w:val="auto"/>
        </w:rPr>
      </w:pPr>
    </w:p>
    <w:p>
      <w:pPr>
        <w:ind w:left="660" w:hanging="567"/>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0" w:lineRule="exact"/>
        <w:rPr>
          <w:rFonts w:ascii="Times New Roman" w:cs="Times New Roman" w:eastAsia="Times New Roman" w:hAnsi="Times New Roman"/>
          <w:sz w:val="18"/>
          <w:szCs w:val="18"/>
          <w:b w:val="1"/>
          <w:bCs w:val="1"/>
          <w:color w:val="auto"/>
        </w:rPr>
      </w:pPr>
    </w:p>
    <w:p>
      <w:pPr>
        <w:ind w:left="1140" w:hanging="282"/>
        <w:spacing w:after="0"/>
        <w:tabs>
          <w:tab w:leader="none" w:pos="11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160" w:hanging="30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567"/>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sz w:val="20"/>
          <w:szCs w:val="20"/>
          <w:color w:val="auto"/>
        </w:rPr>
      </w:pPr>
    </w:p>
    <w:p>
      <w:pPr>
        <w:spacing w:after="0" w:line="246" w:lineRule="exact"/>
        <w:rPr>
          <w:sz w:val="20"/>
          <w:szCs w:val="20"/>
          <w:color w:val="auto"/>
        </w:rPr>
      </w:pPr>
    </w:p>
    <w:p>
      <w:pPr>
        <w:ind w:left="660" w:hanging="567"/>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w:t>
      </w:r>
    </w:p>
    <w:p>
      <w:pPr>
        <w:spacing w:after="0" w:line="27"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b w:val="1"/>
          <w:bCs w:val="1"/>
          <w:color w:val="auto"/>
        </w:rPr>
        <w:t>Sole Voting Power</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vMerge w:val="continue"/>
          </w:tcPr>
          <w:p>
            <w:pPr>
              <w:spacing w:after="0"/>
              <w:rPr>
                <w:sz w:val="16"/>
                <w:szCs w:val="16"/>
                <w:color w:val="auto"/>
              </w:rPr>
            </w:pPr>
          </w:p>
        </w:tc>
        <w:tc>
          <w:tcPr>
            <w:tcW w:w="4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54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2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42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60" w:hanging="567"/>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60" w:right="3900" w:hanging="567"/>
        <w:spacing w:after="0" w:line="383"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(9) excludes certain shares (See Instructions) </w:t>
      </w:r>
      <w:r>
        <w:rPr>
          <w:rFonts w:ascii="Times New Roman" w:cs="Times New Roman" w:eastAsia="Times New Roman" w:hAnsi="Times New Roman"/>
          <w:sz w:val="18"/>
          <w:szCs w:val="18"/>
          <w:color w:val="auto"/>
        </w:rPr>
        <w:t>[ ]</w:t>
      </w:r>
    </w:p>
    <w:p>
      <w:pPr>
        <w:ind w:left="660" w:right="6780" w:hanging="567"/>
        <w:spacing w:after="0" w:line="383"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w:t>
      </w:r>
    </w:p>
    <w:p>
      <w:pPr>
        <w:ind w:left="660" w:hanging="567"/>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22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12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2740" w:type="dxa"/>
            <w:vAlign w:val="bottom"/>
            <w:tcBorders>
              <w:top w:val="single" w:sz="8" w:color="auto"/>
              <w:right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123013104</w:t>
            </w: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2740" w:type="dxa"/>
            <w:vAlign w:val="bottom"/>
            <w:tcBorders>
              <w:bottom w:val="single" w:sz="8" w:color="auto"/>
              <w:right w:val="single" w:sz="8" w:color="auto"/>
            </w:tcBorders>
          </w:tcPr>
          <w:p>
            <w:pPr>
              <w:spacing w:after="0"/>
              <w:rPr>
                <w:sz w:val="7"/>
                <w:szCs w:val="7"/>
                <w:color w:val="auto"/>
              </w:rPr>
            </w:pPr>
          </w:p>
        </w:tc>
      </w:tr>
    </w:tbl>
    <w:p>
      <w:pPr>
        <w:spacing w:after="0" w:line="234" w:lineRule="exact"/>
        <w:rPr>
          <w:sz w:val="20"/>
          <w:szCs w:val="20"/>
          <w:color w:val="auto"/>
        </w:rPr>
      </w:pPr>
    </w:p>
    <w:p>
      <w:pPr>
        <w:ind w:left="660" w:hanging="567"/>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518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Saba Capital Management GP, LLC</w:t>
      </w:r>
    </w:p>
    <w:p>
      <w:pPr>
        <w:spacing w:after="0" w:line="27" w:lineRule="exact"/>
        <w:rPr>
          <w:sz w:val="20"/>
          <w:szCs w:val="20"/>
          <w:color w:val="auto"/>
        </w:rPr>
      </w:pPr>
    </w:p>
    <w:p>
      <w:pPr>
        <w:ind w:left="660" w:hanging="567"/>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0" w:lineRule="exact"/>
        <w:rPr>
          <w:rFonts w:ascii="Times New Roman" w:cs="Times New Roman" w:eastAsia="Times New Roman" w:hAnsi="Times New Roman"/>
          <w:sz w:val="18"/>
          <w:szCs w:val="18"/>
          <w:b w:val="1"/>
          <w:bCs w:val="1"/>
          <w:color w:val="auto"/>
        </w:rPr>
      </w:pPr>
    </w:p>
    <w:p>
      <w:pPr>
        <w:ind w:left="1140" w:hanging="282"/>
        <w:spacing w:after="0"/>
        <w:tabs>
          <w:tab w:leader="none" w:pos="1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160" w:hanging="302"/>
        <w:spacing w:after="0"/>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567"/>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sz w:val="20"/>
          <w:szCs w:val="20"/>
          <w:color w:val="auto"/>
        </w:rPr>
      </w:pPr>
    </w:p>
    <w:p>
      <w:pPr>
        <w:spacing w:after="0" w:line="246" w:lineRule="exact"/>
        <w:rPr>
          <w:sz w:val="20"/>
          <w:szCs w:val="20"/>
          <w:color w:val="auto"/>
        </w:rPr>
      </w:pPr>
    </w:p>
    <w:p>
      <w:pPr>
        <w:ind w:left="660" w:hanging="567"/>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b w:val="1"/>
          <w:bCs w:val="1"/>
          <w:color w:val="auto"/>
        </w:rPr>
        <w:t>Sole Voting Power</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vMerge w:val="continue"/>
          </w:tcPr>
          <w:p>
            <w:pPr>
              <w:spacing w:after="0"/>
              <w:rPr>
                <w:sz w:val="16"/>
                <w:szCs w:val="16"/>
                <w:color w:val="auto"/>
              </w:rPr>
            </w:pPr>
          </w:p>
        </w:tc>
        <w:tc>
          <w:tcPr>
            <w:tcW w:w="4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154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2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42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60" w:hanging="567"/>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60" w:right="3900" w:hanging="567"/>
        <w:spacing w:after="0" w:line="383"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(9) excludes certain shares (See Instructions) </w:t>
      </w:r>
      <w:r>
        <w:rPr>
          <w:rFonts w:ascii="Times New Roman" w:cs="Times New Roman" w:eastAsia="Times New Roman" w:hAnsi="Times New Roman"/>
          <w:sz w:val="18"/>
          <w:szCs w:val="18"/>
          <w:color w:val="auto"/>
        </w:rPr>
        <w:t>[ ]</w:t>
      </w:r>
    </w:p>
    <w:p>
      <w:pPr>
        <w:ind w:left="660" w:right="6780" w:hanging="567"/>
        <w:spacing w:after="0" w:line="383"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w:t>
      </w:r>
    </w:p>
    <w:p>
      <w:pPr>
        <w:ind w:left="660" w:hanging="567"/>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22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07" w:lineRule="exact"/>
        <w:rPr>
          <w:sz w:val="20"/>
          <w:szCs w:val="20"/>
          <w:color w:val="auto"/>
        </w:rPr>
      </w:pPr>
    </w:p>
    <w:p>
      <w:pPr>
        <w:ind w:left="700" w:hanging="692"/>
        <w:spacing w:after="0"/>
        <w:tabs>
          <w:tab w:leader="none" w:pos="7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BurTech Acquisition Corp</w:t>
      </w:r>
    </w:p>
    <w:p>
      <w:pPr>
        <w:spacing w:after="0" w:line="206" w:lineRule="exact"/>
        <w:rPr>
          <w:rFonts w:ascii="Times New Roman" w:cs="Times New Roman" w:eastAsia="Times New Roman" w:hAnsi="Times New Roman"/>
          <w:sz w:val="22"/>
          <w:szCs w:val="22"/>
          <w:b w:val="1"/>
          <w:bCs w:val="1"/>
          <w:color w:val="auto"/>
        </w:rPr>
      </w:pPr>
    </w:p>
    <w:p>
      <w:pPr>
        <w:ind w:left="700" w:hanging="692"/>
        <w:spacing w:after="0"/>
        <w:tabs>
          <w:tab w:leader="none" w:pos="7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r>
        <w:rPr>
          <w:rFonts w:ascii="Times New Roman" w:cs="Times New Roman" w:eastAsia="Times New Roman" w:hAnsi="Times New Roman"/>
          <w:sz w:val="22"/>
          <w:szCs w:val="22"/>
          <w:color w:val="auto"/>
        </w:rPr>
        <w:t>: 1300 Pennsylvania Ave Nw, Ste 700, Washington, DC 20004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06" w:lineRule="exact"/>
        <w:rPr>
          <w:sz w:val="20"/>
          <w:szCs w:val="20"/>
          <w:color w:val="auto"/>
        </w:rPr>
      </w:pPr>
    </w:p>
    <w:p>
      <w:pPr>
        <w:jc w:val="both"/>
        <w:ind w:left="660" w:hanging="328"/>
        <w:spacing w:after="0" w:line="247" w:lineRule="auto"/>
        <w:tabs>
          <w:tab w:leader="none" w:pos="70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Saba Capital Management, L.P., a Delaware limited partnership ("Saba Capital"), Saba Capital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Management GP, LLC, a Delaware limited liability company ("Saba GP"), and Mr. Boaz R. Weinstein (together, the "Reporting Persons"). The Reporting Persons have entered into a Joint Filing Agreement, dated December 23 2021, pursuant to which the Reporting Persons have agreed to file this statement and any subsequent amendments hereto jointly in accordance with the provisions of Rule 13d-1(k)(1) under the Act. Any disclosures herein with respect to persons other than the Reporting Persons are made on information and belief after making inquiry to the appropriate party. The filing of this statement should not be construed as an admission that any of the forgoing persons or the Reporting Persons is, for the purposes of Section 13 of the Act, the beneficial owner of the Common Stock reported herein.</w:t>
      </w:r>
    </w:p>
    <w:p>
      <w:pPr>
        <w:spacing w:after="0" w:line="171" w:lineRule="exact"/>
        <w:rPr>
          <w:rFonts w:ascii="Times New Roman" w:cs="Times New Roman" w:eastAsia="Times New Roman" w:hAnsi="Times New Roman"/>
          <w:sz w:val="21"/>
          <w:szCs w:val="21"/>
          <w:color w:val="auto"/>
        </w:rPr>
      </w:pPr>
    </w:p>
    <w:p>
      <w:pPr>
        <w:ind w:left="660" w:hanging="652"/>
        <w:spacing w:after="0" w:line="262" w:lineRule="auto"/>
        <w:tabs>
          <w:tab w:leader="none" w:pos="70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The address of the business office of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Persons is 405 Lexington Avenue, 58th Floor, New York, New York 10174.</w:t>
      </w:r>
    </w:p>
    <w:p>
      <w:pPr>
        <w:spacing w:after="0" w:line="149" w:lineRule="exact"/>
        <w:rPr>
          <w:rFonts w:ascii="Times New Roman" w:cs="Times New Roman" w:eastAsia="Times New Roman" w:hAnsi="Times New Roman"/>
          <w:sz w:val="22"/>
          <w:szCs w:val="22"/>
          <w:b w:val="1"/>
          <w:bCs w:val="1"/>
          <w:color w:val="auto"/>
        </w:rPr>
      </w:pPr>
    </w:p>
    <w:p>
      <w:pPr>
        <w:jc w:val="both"/>
        <w:ind w:left="660" w:hanging="652"/>
        <w:spacing w:after="0" w:line="246" w:lineRule="auto"/>
        <w:tabs>
          <w:tab w:leader="none" w:pos="69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Citizenship: </w:t>
      </w:r>
      <w:r>
        <w:rPr>
          <w:rFonts w:ascii="Times New Roman" w:cs="Times New Roman" w:eastAsia="Times New Roman" w:hAnsi="Times New Roman"/>
          <w:sz w:val="22"/>
          <w:szCs w:val="22"/>
          <w:color w:val="auto"/>
        </w:rPr>
        <w:t>Saba Capital is organized as a limited partnership under the laws of the State of Delaware. Saba GP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as a limited liability company under the laws of the State of Delaware. Mr. Weinstein is a citizen of the United States.</w:t>
      </w:r>
    </w:p>
    <w:p>
      <w:pPr>
        <w:spacing w:after="0" w:line="167" w:lineRule="exact"/>
        <w:rPr>
          <w:rFonts w:ascii="Times New Roman" w:cs="Times New Roman" w:eastAsia="Times New Roman" w:hAnsi="Times New Roman"/>
          <w:sz w:val="22"/>
          <w:szCs w:val="22"/>
          <w:b w:val="1"/>
          <w:bCs w:val="1"/>
          <w:color w:val="auto"/>
        </w:rPr>
      </w:pPr>
    </w:p>
    <w:p>
      <w:pPr>
        <w:ind w:left="700" w:hanging="368"/>
        <w:spacing w:after="0"/>
        <w:tabs>
          <w:tab w:leader="none" w:pos="700"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and Class of Securities: </w:t>
      </w:r>
      <w:r>
        <w:rPr>
          <w:rFonts w:ascii="Times New Roman" w:cs="Times New Roman" w:eastAsia="Times New Roman" w:hAnsi="Times New Roman"/>
          <w:sz w:val="22"/>
          <w:szCs w:val="22"/>
          <w:color w:val="auto"/>
        </w:rPr>
        <w:t>Common stock, $0.0001 Par Value (the "Common Stock").</w:t>
      </w:r>
    </w:p>
    <w:p>
      <w:pPr>
        <w:spacing w:after="0" w:line="206" w:lineRule="exact"/>
        <w:rPr>
          <w:rFonts w:ascii="Times New Roman" w:cs="Times New Roman" w:eastAsia="Times New Roman" w:hAnsi="Times New Roman"/>
          <w:sz w:val="22"/>
          <w:szCs w:val="22"/>
          <w:b w:val="1"/>
          <w:bCs w:val="1"/>
          <w:color w:val="auto"/>
        </w:rPr>
      </w:pPr>
    </w:p>
    <w:p>
      <w:pPr>
        <w:ind w:left="700" w:hanging="368"/>
        <w:spacing w:after="0"/>
        <w:tabs>
          <w:tab w:leader="none" w:pos="700"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22"/>
          <w:szCs w:val="22"/>
          <w:color w:val="auto"/>
        </w:rPr>
        <w:t>123013104</w:t>
      </w:r>
    </w:p>
    <w:p>
      <w:pPr>
        <w:spacing w:after="0" w:line="206"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3.</w:t>
        <w:tab/>
        <w:t>If this statement is filed pursuant to §§ 240.13d-1(b) or 240.13d-2(b) or (c), check whether the person filing is a:</w:t>
      </w:r>
    </w:p>
    <w:p>
      <w:pPr>
        <w:spacing w:after="0" w:line="154" w:lineRule="exact"/>
        <w:rPr>
          <w:sz w:val="20"/>
          <w:szCs w:val="20"/>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Broker or dealer registered under Section 15 of the Act;</w:t>
      </w:r>
    </w:p>
    <w:p>
      <w:pPr>
        <w:spacing w:after="0" w:line="206"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Bank as defined in Section 3(a)(6) of the Act;</w:t>
      </w:r>
    </w:p>
    <w:p>
      <w:pPr>
        <w:spacing w:after="0" w:line="206"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Insurance company as defined in Section 3(a)(19) of the Act;</w:t>
      </w:r>
    </w:p>
    <w:p>
      <w:pPr>
        <w:spacing w:after="0" w:line="206"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Investment company registered under Section 8 of the Investment Company Act of 1940;</w:t>
      </w:r>
    </w:p>
    <w:p>
      <w:pPr>
        <w:spacing w:after="0" w:line="206"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An investment adviser in accordance with Rule 13d-1(b)(1)(ii)(E);</w:t>
      </w:r>
    </w:p>
    <w:p>
      <w:pPr>
        <w:spacing w:after="0" w:line="206"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An employee benefit plan or endowment fund in accordance with Rule 13d-1(b)(1)(ii)(F);</w:t>
      </w:r>
    </w:p>
    <w:p>
      <w:pPr>
        <w:spacing w:after="0" w:line="206"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parent holding company or control person in accordance with Rule 13d-1(b)(1)(ii)(G);</w:t>
      </w:r>
    </w:p>
    <w:p>
      <w:pPr>
        <w:spacing w:after="0" w:line="206" w:lineRule="exact"/>
        <w:rPr>
          <w:rFonts w:ascii="Times New Roman" w:cs="Times New Roman" w:eastAsia="Times New Roman" w:hAnsi="Times New Roman"/>
          <w:sz w:val="22"/>
          <w:szCs w:val="22"/>
          <w:color w:val="auto"/>
        </w:rPr>
      </w:pPr>
    </w:p>
    <w:p>
      <w:pPr>
        <w:ind w:left="1380" w:hanging="724"/>
        <w:spacing w:after="0"/>
        <w:tabs>
          <w:tab w:leader="none" w:pos="13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6" w:lineRule="exact"/>
        <w:rPr>
          <w:rFonts w:ascii="Times New Roman" w:cs="Times New Roman" w:eastAsia="Times New Roman" w:hAnsi="Times New Roman"/>
          <w:sz w:val="22"/>
          <w:szCs w:val="22"/>
          <w:color w:val="auto"/>
        </w:rPr>
      </w:pPr>
    </w:p>
    <w:p>
      <w:pPr>
        <w:ind w:left="1960" w:right="20" w:hanging="1304"/>
        <w:spacing w:after="0" w:line="258" w:lineRule="auto"/>
        <w:tabs>
          <w:tab w:leader="none" w:pos="13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[_]A church plan that is excluded from the definition of an investment company under section 3(c)(14) of the Investment Company Act of 1940;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1360" w:hanging="704"/>
        <w:spacing w:after="0"/>
        <w:tabs>
          <w:tab w:leader="none" w:pos="13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1"/>
          <w:szCs w:val="21"/>
          <w:color w:val="auto"/>
        </w:rPr>
        <w:t>A non-U.S. institution in accordance with Rule 240.13d-1(b)(1)(ii)(J);</w:t>
      </w:r>
    </w:p>
    <w:p>
      <w:pPr>
        <w:spacing w:after="0" w:line="206" w:lineRule="exact"/>
        <w:rPr>
          <w:rFonts w:ascii="Times New Roman" w:cs="Times New Roman" w:eastAsia="Times New Roman" w:hAnsi="Times New Roman"/>
          <w:sz w:val="22"/>
          <w:szCs w:val="22"/>
          <w:color w:val="auto"/>
        </w:rPr>
      </w:pPr>
    </w:p>
    <w:p>
      <w:pPr>
        <w:ind w:left="1960" w:hanging="1304"/>
        <w:spacing w:after="0" w:line="258" w:lineRule="auto"/>
        <w:tabs>
          <w:tab w:leader="none" w:pos="13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[_]Group, in accordance with Rule 240.13d-1(b)(1)(ii)(K). If filing as a non-U.S. institution in accordance with Rule 240.13d-1(b)(1)(ii)(J), please specify the type of institution: 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06" w:lineRule="exact"/>
        <w:rPr>
          <w:sz w:val="20"/>
          <w:szCs w:val="20"/>
          <w:color w:val="auto"/>
        </w:rPr>
      </w:pPr>
    </w:p>
    <w:p>
      <w:pPr>
        <w:ind w:left="660" w:hanging="652"/>
        <w:spacing w:after="0" w:line="262" w:lineRule="auto"/>
        <w:tabs>
          <w:tab w:leader="none" w:pos="696"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Amount Beneficially Owned: </w:t>
      </w:r>
      <w:r>
        <w:rPr>
          <w:rFonts w:ascii="Times New Roman" w:cs="Times New Roman" w:eastAsia="Times New Roman" w:hAnsi="Times New Roman"/>
          <w:sz w:val="22"/>
          <w:szCs w:val="22"/>
          <w:color w:val="auto"/>
        </w:rPr>
        <w:t>The information required by Items 4(a) - (c) is set forth in Rows (5) - (11) of the 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page for each Reporting Person hereto and is incorporated herein by reference for each such Reporting Person.</w:t>
      </w:r>
    </w:p>
    <w:p>
      <w:pPr>
        <w:spacing w:after="0" w:line="150" w:lineRule="exact"/>
        <w:rPr>
          <w:sz w:val="20"/>
          <w:szCs w:val="20"/>
          <w:color w:val="auto"/>
        </w:rPr>
      </w:pPr>
    </w:p>
    <w:p>
      <w:pPr>
        <w:jc w:val="both"/>
        <w:ind w:left="980" w:hanging="971"/>
        <w:spacing w:after="0" w:line="246"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5.</w:t>
        <w:tab/>
        <w:t xml:space="preserve">Ownership of Five Percent or Less of a Class. </w:t>
      </w:r>
      <w:r>
        <w:rPr>
          <w:rFonts w:ascii="Times New Roman" w:cs="Times New Roman" w:eastAsia="Times New Roman" w:hAnsi="Times New Roman"/>
          <w:sz w:val="22"/>
          <w:szCs w:val="22"/>
          <w:color w:val="auto"/>
        </w:rPr>
        <w:t>If this statement is being filed to report the fact that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hereof the reporting person has ceased to be the beneficial owner of more than 5 percent of the class of securities, check the following </w:t>
      </w:r>
      <w:r>
        <w:rPr>
          <w:rFonts w:ascii="Times New Roman" w:cs="Times New Roman" w:eastAsia="Times New Roman" w:hAnsi="Times New Roman"/>
          <w:sz w:val="22"/>
          <w:szCs w:val="22"/>
          <w:b w:val="1"/>
          <w:bCs w:val="1"/>
          <w:color w:val="auto"/>
        </w:rPr>
        <w:t>[X]</w:t>
      </w:r>
    </w:p>
    <w:p>
      <w:pPr>
        <w:spacing w:after="0" w:line="16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 N/A</w:t>
      </w:r>
    </w:p>
    <w:p>
      <w:pPr>
        <w:spacing w:after="0" w:line="206" w:lineRule="exact"/>
        <w:rPr>
          <w:sz w:val="20"/>
          <w:szCs w:val="20"/>
          <w:color w:val="auto"/>
        </w:rPr>
      </w:pPr>
    </w:p>
    <w:p>
      <w:pPr>
        <w:jc w:val="both"/>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 N/A</w:t>
      </w:r>
    </w:p>
    <w:p>
      <w:pPr>
        <w:spacing w:after="0" w:line="150" w:lineRule="exact"/>
        <w:rPr>
          <w:sz w:val="20"/>
          <w:szCs w:val="20"/>
          <w:color w:val="auto"/>
        </w:rPr>
      </w:pPr>
    </w:p>
    <w:p>
      <w:pPr>
        <w:ind w:right="4460"/>
        <w:spacing w:after="0" w:line="521" w:lineRule="auto"/>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 N/A Item 9. Notice of Dissolution of Group. N/A Item 10. Certifications.</w:t>
      </w:r>
    </w:p>
    <w:p>
      <w:pPr>
        <w:spacing w:after="0" w:line="283" w:lineRule="exact"/>
        <w:rPr>
          <w:sz w:val="20"/>
          <w:szCs w:val="20"/>
          <w:color w:val="auto"/>
        </w:rPr>
      </w:pPr>
    </w:p>
    <w:p>
      <w:pPr>
        <w:jc w:val="both"/>
        <w:ind w:left="980"/>
        <w:spacing w:after="0" w:line="239" w:lineRule="auto"/>
        <w:rPr>
          <w:sz w:val="20"/>
          <w:szCs w:val="20"/>
          <w:color w:val="auto"/>
        </w:rPr>
      </w:pPr>
      <w:r>
        <w:rPr>
          <w:rFonts w:ascii="Times New Roman" w:cs="Times New Roman" w:eastAsia="Times New Roman" w:hAnsi="Times New Roman"/>
          <w:sz w:val="22"/>
          <w:szCs w:val="22"/>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7,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Signature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Michael D'Angelo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D'Angelo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Boaz R. Weinstein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Michael D'Angelo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Attorney-in-fact***</w:t>
      </w:r>
    </w:p>
    <w:p>
      <w:pPr>
        <w:spacing w:after="0" w:line="206" w:lineRule="exact"/>
        <w:rPr>
          <w:sz w:val="20"/>
          <w:szCs w:val="20"/>
          <w:color w:val="auto"/>
        </w:rPr>
      </w:pPr>
    </w:p>
    <w:p>
      <w:pPr>
        <w:ind w:left="5140" w:right="5120" w:hanging="5132"/>
        <w:spacing w:after="0" w:line="953" w:lineRule="auto"/>
        <w:tabs>
          <w:tab w:leader="none" w:pos="39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a Power of Attorney dated as of November 16, 2015 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9"/>
      <w:numFmt w:val="bullet"/>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2"/>
      <w:numFmt w:val="bullet"/>
      <w:start w:val="1"/>
    </w:lvl>
    <w:lvl w:ilvl="1">
      <w:lvlJc w:val="left"/>
      <w:lvlText w:val="(%2)"/>
      <w:numFmt w:val="lowerLetter"/>
      <w:start w:val="1"/>
    </w:lvl>
  </w:abstractNum>
  <w:abstractNum w:abstractNumId="9">
    <w:nsid w:val="431BD7B7"/>
    <w:multiLevelType w:val="hybridMultilevel"/>
    <w:lvl w:ilvl="0">
      <w:lvlJc w:val="left"/>
      <w:lvlText w:val="3"/>
      <w:numFmt w:val="bullet"/>
      <w:start w:val="1"/>
    </w:lvl>
  </w:abstractNum>
  <w:abstractNum w:abstractNumId="10">
    <w:nsid w:val="3F2DBA31"/>
    <w:multiLevelType w:val="hybridMultilevel"/>
    <w:lvl w:ilvl="0">
      <w:lvlJc w:val="left"/>
      <w:lvlText w:val="4"/>
      <w:numFmt w:val="bullet"/>
      <w:start w:val="1"/>
    </w:lvl>
  </w:abstractNum>
  <w:abstractNum w:abstractNumId="11">
    <w:nsid w:val="7C83E458"/>
    <w:multiLevelType w:val="hybridMultilevel"/>
    <w:lvl w:ilvl="0">
      <w:lvlJc w:val="left"/>
      <w:lvlText w:val="9"/>
      <w:numFmt w:val="bullet"/>
      <w:start w:val="1"/>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2"/>
      <w:numFmt w:val="bullet"/>
      <w:start w:val="1"/>
    </w:lvl>
    <w:lvl w:ilvl="1">
      <w:lvlJc w:val="left"/>
      <w:lvlText w:val="(%2)"/>
      <w:numFmt w:val="lowerLetter"/>
      <w:start w:val="1"/>
    </w:lvl>
  </w:abstractNum>
  <w:abstractNum w:abstractNumId="15">
    <w:nsid w:val="628C895D"/>
    <w:multiLevelType w:val="hybridMultilevel"/>
    <w:lvl w:ilvl="0">
      <w:lvlJc w:val="left"/>
      <w:lvlText w:val="3"/>
      <w:numFmt w:val="bullet"/>
      <w:start w:val="1"/>
    </w:lvl>
  </w:abstractNum>
  <w:abstractNum w:abstractNumId="16">
    <w:nsid w:val="333AB105"/>
    <w:multiLevelType w:val="hybridMultilevel"/>
    <w:lvl w:ilvl="0">
      <w:lvlJc w:val="left"/>
      <w:lvlText w:val="4"/>
      <w:numFmt w:val="bullet"/>
      <w:start w:val="1"/>
    </w:lvl>
  </w:abstractNum>
  <w:abstractNum w:abstractNumId="17">
    <w:nsid w:val="721DA317"/>
    <w:multiLevelType w:val="hybridMultilevel"/>
    <w:lvl w:ilvl="0">
      <w:lvlJc w:val="left"/>
      <w:lvlText w:val="9"/>
      <w:numFmt w:val="bullet"/>
      <w:start w:val="1"/>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lowerLetter"/>
      <w:start w:val="1"/>
    </w:lvl>
  </w:abstractNum>
  <w:abstractNum w:abstractNumId="21">
    <w:nsid w:val="75A2A8D4"/>
    <w:multiLevelType w:val="hybridMultilevel"/>
    <w:lvl w:ilvl="0">
      <w:lvlJc w:val="left"/>
      <w:lvlText w:val="(%1)"/>
      <w:numFmt w:val="lowerLetter"/>
      <w:start w:val="2"/>
    </w:lvl>
    <w:lvl w:ilvl="1">
      <w:lvlJc w:val="left"/>
      <w:lvlText w:val="(%2)"/>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0"/>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2024-02-07T13:06:35Z</dcterms:created>
  <dcterms:modified xsi:type="dcterms:W3CDTF">2024-02-07T13:06:35Z</dcterms:modified>
</cp:coreProperties>
</file>