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37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7210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Cannestra Anthony</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Blaize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BLAIZE HOLDINGS, INC.</w:t>
            </w:r>
          </w:p>
        </w:tc>
        <w:tc>
          <w:tcPr>
            <w:tcW w:w="1220" w:type="dxa"/>
            <w:vAlign w:val="bottom"/>
          </w:tcPr>
          <w:p>
            <w:pPr>
              <w:spacing w:after="0"/>
              <w:rPr>
                <w:sz w:val="18"/>
                <w:szCs w:val="18"/>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01/13/2025</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4659 GOLDEN FOOTHILL PARKWAY, SUITE 206</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64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EL DORADO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95762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71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jc w:val="center"/>
              <w:ind w:left="714"/>
              <w:spacing w:after="0"/>
              <w:rPr>
                <w:sz w:val="20"/>
                <w:szCs w:val="20"/>
                <w:color w:val="auto"/>
              </w:rPr>
            </w:pPr>
            <w:r>
              <w:rPr>
                <w:rFonts w:ascii="Times New Roman" w:cs="Times New Roman" w:eastAsia="Times New Roman" w:hAnsi="Times New Roman"/>
                <w:sz w:val="17"/>
                <w:szCs w:val="17"/>
                <w:color w:val="0000FF"/>
                <w:w w:val="95"/>
              </w:rPr>
              <w:t>01/13/2025</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91,327</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91,327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14.62</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vMerge w:val="restart"/>
          </w:tcPr>
          <w:p>
            <w:pPr>
              <w:jc w:val="center"/>
              <w:ind w:right="316"/>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8,824</w:t>
            </w: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12/13/2028</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8,824</w:t>
            </w:r>
          </w:p>
        </w:tc>
        <w:tc>
          <w:tcPr>
            <w:tcW w:w="20" w:type="dxa"/>
            <w:vAlign w:val="bottom"/>
          </w:tcPr>
          <w:p>
            <w:pPr>
              <w:spacing w:after="0"/>
              <w:rPr>
                <w:sz w:val="15"/>
                <w:szCs w:val="15"/>
                <w:color w:val="auto"/>
              </w:rPr>
            </w:pPr>
          </w:p>
        </w:tc>
        <w:tc>
          <w:tcPr>
            <w:tcW w:w="7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58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5"/>
              </w:rPr>
              <w:t>8,824</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212,169</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09/18/2033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0000FF"/>
                <w:w w:val="97"/>
              </w:rPr>
              <w:t>212,169</w:t>
            </w:r>
          </w:p>
        </w:tc>
        <w:tc>
          <w:tcPr>
            <w:tcW w:w="20" w:type="dxa"/>
            <w:vAlign w:val="bottom"/>
          </w:tcPr>
          <w:p>
            <w:pPr>
              <w:spacing w:after="0"/>
              <w:rPr>
                <w:sz w:val="21"/>
                <w:szCs w:val="21"/>
                <w:color w:val="auto"/>
              </w:rPr>
            </w:pPr>
          </w:p>
        </w:tc>
        <w:tc>
          <w:tcPr>
            <w:tcW w:w="70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212,169</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350,970</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10/23/2034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0000FF"/>
                <w:w w:val="97"/>
              </w:rPr>
              <w:t>350,970</w:t>
            </w:r>
          </w:p>
        </w:tc>
        <w:tc>
          <w:tcPr>
            <w:tcW w:w="20" w:type="dxa"/>
            <w:vAlign w:val="bottom"/>
          </w:tcPr>
          <w:p>
            <w:pPr>
              <w:spacing w:after="0"/>
              <w:rPr>
                <w:sz w:val="21"/>
                <w:szCs w:val="21"/>
                <w:color w:val="auto"/>
              </w:rPr>
            </w:pPr>
          </w:p>
        </w:tc>
        <w:tc>
          <w:tcPr>
            <w:tcW w:w="70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350,970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01/13/2025</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2"/>
          </w:tcPr>
          <w:p>
            <w:pPr>
              <w:jc w:val="center"/>
              <w:ind w:right="316"/>
              <w:spacing w:after="0" w:line="241" w:lineRule="exact"/>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146,237</w:t>
            </w:r>
          </w:p>
        </w:tc>
        <w:tc>
          <w:tcPr>
            <w:tcW w:w="28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10/23/2034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0000FF"/>
                <w:w w:val="97"/>
              </w:rPr>
              <w:t>146,237</w:t>
            </w:r>
          </w:p>
        </w:tc>
        <w:tc>
          <w:tcPr>
            <w:tcW w:w="20" w:type="dxa"/>
            <w:vAlign w:val="bottom"/>
          </w:tcPr>
          <w:p>
            <w:pPr>
              <w:spacing w:after="0"/>
              <w:rPr>
                <w:sz w:val="21"/>
                <w:szCs w:val="21"/>
                <w:color w:val="auto"/>
              </w:rPr>
            </w:pPr>
          </w:p>
        </w:tc>
        <w:tc>
          <w:tcPr>
            <w:tcW w:w="70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146,237</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-2426970</wp:posOffset>
            </wp:positionV>
            <wp:extent cx="28575" cy="2432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320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6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Earn-Out Shares, each of which represents a contingent right to receive one share of Common Stock if the trading price of the Issuer's Common Stock exceeds certain thresholds for 20 of 30 consecutive trading days post-closing of the Issuer's business combination.</w:t>
      </w:r>
    </w:p>
    <w:p>
      <w:pPr>
        <w:spacing w:after="0" w:line="19" w:lineRule="exact"/>
        <w:rPr>
          <w:rFonts w:ascii="Times New Roman" w:cs="Times New Roman" w:eastAsia="Times New Roman" w:hAnsi="Times New Roman"/>
          <w:sz w:val="13"/>
          <w:szCs w:val="13"/>
          <w:color w:val="008000"/>
        </w:rPr>
      </w:pPr>
    </w:p>
    <w:p>
      <w:pPr>
        <w:jc w:val="both"/>
        <w:ind w:left="40" w:right="18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between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p>
      <w:pPr>
        <w:spacing w:after="0" w:line="10"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one third of the underlying shares on December 1, 2025, and thereafter in 24 equal monthly installments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Harminder Sehmi, Attorney- </w:t>
      </w:r>
      <w:r>
        <w:rPr>
          <w:rFonts w:ascii="Times New Roman" w:cs="Times New Roman" w:eastAsia="Times New Roman" w:hAnsi="Times New Roman"/>
          <w:sz w:val="33"/>
          <w:szCs w:val="33"/>
          <w:color w:val="0000FF"/>
          <w:vertAlign w:val="subscript"/>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8317"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2025-01-15T20:11:45Z</dcterms:created>
  <dcterms:modified xsi:type="dcterms:W3CDTF">2025-01-15T20:11:45Z</dcterms:modified>
</cp:coreProperties>
</file>