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October 30,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October 23,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S-4 filed on October 30, 2024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disclosures added on page 142 regarding the engagements of Jefferies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KeyBanc to serve as "strategic advisors" in connection with the business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that their fees are payable upon closing of the transaction . Please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explain in greater detail the nature of services each has rendered and will</w:t>
      </w:r>
    </w:p>
    <w:p>
      <w:pPr>
        <w:ind w:right="83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render in its engagement as "strategic advisor." File the related agreements as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do not complete a business combination within 36-month of our initial public offering,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securities will be suspended from trading a, page 79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on pg. 79 regarding the risk of delisting upon issuance of a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delisting determination letter for failure to meet the requirement in Nasdaq Rule IM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5101-2(b) to complete one or more business combinations within 36 months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effectiveness of its IPO registration statement. Please revise to disclose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any such suspension or delisting, including that you may no longer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attractive as a merger partner if you are no longer listed on an exchange and any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impact on your ability to complete an initial business combination.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Considerations for BurTech, Holders of BurTech Class A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and Holders of New Blaize Common Stock, page 178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346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provided a "form of" tax opinion as exhibit 8.1. Please file the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 tax opinion, not merely the form. Additionally, we note your disclosure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registration statement that "Latham &amp; Watkins LLP intends to deliver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opinion to the effect that... the Merger should qualify as a "reorganization" within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meaning of Section 368 (a) of the Code." Please update this disclosure throughout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that Latham &amp; Watkins is delivering a tax opinion.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303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comment 21 in our September 24, 2024 comment letter.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natural persons who have or share voting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dispositive powers over the shares held by each entity listed in each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Kevin Stertzel at 202-551-3723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Sarah Sidwell at 202-551-4733 or Geoffrey Kruczek at 202-551-3641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8239" w:hanging="632"/>
        <w:spacing w:after="0" w:line="377" w:lineRule="auto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Ryan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2025-01-03T23:12:16Z</dcterms:created>
  <dcterms:modified xsi:type="dcterms:W3CDTF">2025-01-03T23:12:16Z</dcterms:modified>
</cp:coreProperties>
</file>