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25,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3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88"/>
              </w:rPr>
              <w:t>001-41139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40" w:type="dxa"/>
            <w:vAlign w:val="bottom"/>
          </w:tcPr>
          <w:p>
            <w:pPr>
              <w:jc w:val="center"/>
              <w:ind w:left="590"/>
              <w:spacing w:after="0"/>
              <w:rPr>
                <w:sz w:val="20"/>
                <w:szCs w:val="20"/>
                <w:color w:val="auto"/>
              </w:rPr>
            </w:pPr>
            <w:r>
              <w:rPr>
                <w:rFonts w:ascii="Arial" w:cs="Arial" w:eastAsia="Arial" w:hAnsi="Arial"/>
                <w:sz w:val="18"/>
                <w:szCs w:val="18"/>
                <w:color w:val="auto"/>
                <w:w w:val="93"/>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8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1"/>
              </w:rPr>
              <w:t>3529 Porter St,</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20016</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380" w:type="dxa"/>
            <w:vAlign w:val="bottom"/>
            <w:gridSpan w:val="3"/>
          </w:tcPr>
          <w:p>
            <w:pPr>
              <w:jc w:val="center"/>
              <w:ind w:left="490"/>
              <w:spacing w:after="0"/>
              <w:rPr>
                <w:sz w:val="20"/>
                <w:szCs w:val="20"/>
                <w:color w:val="auto"/>
              </w:rPr>
            </w:pPr>
            <w:r>
              <w:rPr>
                <w:rFonts w:ascii="Arial" w:cs="Arial" w:eastAsia="Arial" w:hAnsi="Arial"/>
                <w:sz w:val="18"/>
                <w:szCs w:val="18"/>
                <w:color w:val="auto"/>
                <w:w w:val="90"/>
              </w:rPr>
              <w:t>(202) 600-5757</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shd w:val="clear" w:color="auto" w:fill="CCEEFF"/>
          </w:tcPr>
          <w:p>
            <w:pPr>
              <w:spacing w:after="0"/>
              <w:rPr>
                <w:sz w:val="16"/>
                <w:szCs w:val="16"/>
                <w:color w:val="auto"/>
              </w:rPr>
            </w:pPr>
          </w:p>
        </w:tc>
        <w:tc>
          <w:tcPr>
            <w:tcW w:w="34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rPr>
              <w:t>BRKHU</w:t>
            </w:r>
          </w:p>
        </w:tc>
        <w:tc>
          <w:tcPr>
            <w:tcW w:w="100" w:type="dxa"/>
            <w:vAlign w:val="bottom"/>
            <w:shd w:val="clear" w:color="auto" w:fill="CCEEFF"/>
          </w:tcPr>
          <w:p>
            <w:pPr>
              <w:spacing w:after="0"/>
              <w:rPr>
                <w:sz w:val="16"/>
                <w:szCs w:val="16"/>
                <w:color w:val="auto"/>
              </w:rPr>
            </w:pPr>
          </w:p>
        </w:tc>
        <w:tc>
          <w:tcPr>
            <w:tcW w:w="37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one Redeemable Warrant</w:t>
            </w:r>
          </w:p>
        </w:tc>
        <w:tc>
          <w:tcPr>
            <w:tcW w:w="12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89"/>
              </w:rPr>
              <w:t>Class A Common Stock, par value $0.0001 per share</w:t>
            </w:r>
          </w:p>
        </w:tc>
        <w:tc>
          <w:tcPr>
            <w:tcW w:w="120" w:type="dxa"/>
            <w:vAlign w:val="bottom"/>
            <w:shd w:val="clear" w:color="auto" w:fill="CCEEFF"/>
          </w:tcPr>
          <w:p>
            <w:pPr>
              <w:spacing w:after="0"/>
              <w:rPr>
                <w:sz w:val="18"/>
                <w:szCs w:val="18"/>
                <w:color w:val="auto"/>
              </w:rPr>
            </w:pPr>
          </w:p>
        </w:tc>
        <w:tc>
          <w:tcPr>
            <w:tcW w:w="3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BRKH</w:t>
            </w:r>
          </w:p>
        </w:tc>
        <w:tc>
          <w:tcPr>
            <w:tcW w:w="100" w:type="dxa"/>
            <w:vAlign w:val="bottom"/>
            <w:shd w:val="clear" w:color="auto" w:fill="CCEEFF"/>
          </w:tcPr>
          <w:p>
            <w:pPr>
              <w:spacing w:after="0"/>
              <w:rPr>
                <w:sz w:val="18"/>
                <w:szCs w:val="18"/>
                <w:color w:val="auto"/>
              </w:rPr>
            </w:pP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Warrants, each exercisable for one share of Class A</w:t>
            </w:r>
          </w:p>
        </w:tc>
        <w:tc>
          <w:tcPr>
            <w:tcW w:w="120" w:type="dxa"/>
            <w:vAlign w:val="bottom"/>
            <w:shd w:val="clear" w:color="auto" w:fill="CCEEFF"/>
          </w:tcPr>
          <w:p>
            <w:pPr>
              <w:spacing w:after="0"/>
              <w:rPr>
                <w:sz w:val="17"/>
                <w:szCs w:val="17"/>
                <w:color w:val="auto"/>
              </w:rPr>
            </w:pPr>
          </w:p>
        </w:tc>
        <w:tc>
          <w:tcPr>
            <w:tcW w:w="3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BRKHW</w:t>
            </w:r>
          </w:p>
        </w:tc>
        <w:tc>
          <w:tcPr>
            <w:tcW w:w="100" w:type="dxa"/>
            <w:vAlign w:val="bottom"/>
            <w:shd w:val="clear" w:color="auto" w:fill="CCEEFF"/>
          </w:tcPr>
          <w:p>
            <w:pPr>
              <w:spacing w:after="0"/>
              <w:rPr>
                <w:sz w:val="17"/>
                <w:szCs w:val="17"/>
                <w:color w:val="auto"/>
              </w:rPr>
            </w:pPr>
          </w:p>
        </w:tc>
        <w:tc>
          <w:tcPr>
            <w:tcW w:w="3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12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firstLine="648"/>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5"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On May 23, 2023, BurTech Acquisition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received a notification letter (the “</w:t>
      </w:r>
      <w:r>
        <w:rPr>
          <w:rFonts w:ascii="Arial" w:cs="Arial" w:eastAsia="Arial" w:hAnsi="Arial"/>
          <w:sz w:val="17"/>
          <w:szCs w:val="17"/>
          <w:b w:val="1"/>
          <w:bCs w:val="1"/>
          <w:color w:val="auto"/>
        </w:rPr>
        <w:t>Notice</w:t>
      </w:r>
      <w:r>
        <w:rPr>
          <w:rFonts w:ascii="Arial" w:cs="Arial" w:eastAsia="Arial" w:hAnsi="Arial"/>
          <w:sz w:val="17"/>
          <w:szCs w:val="17"/>
          <w:color w:val="auto"/>
        </w:rPr>
        <w:t>”) from the Listing Qualifications Department of The Nasdaq Stock Market LLC (“</w:t>
      </w:r>
      <w:r>
        <w:rPr>
          <w:rFonts w:ascii="Arial" w:cs="Arial" w:eastAsia="Arial" w:hAnsi="Arial"/>
          <w:sz w:val="17"/>
          <w:szCs w:val="17"/>
          <w:b w:val="1"/>
          <w:bCs w:val="1"/>
          <w:color w:val="auto"/>
        </w:rPr>
        <w:t>Nasdaq</w:t>
      </w:r>
      <w:r>
        <w:rPr>
          <w:rFonts w:ascii="Arial" w:cs="Arial" w:eastAsia="Arial" w:hAnsi="Arial"/>
          <w:sz w:val="17"/>
          <w:szCs w:val="17"/>
          <w:color w:val="auto"/>
        </w:rPr>
        <w:t>”) indicating that, as a result of the Company’s delay in filing its Quarterly Report on Form 10-Q for the period ended March 31, 2023 (the “</w:t>
      </w:r>
      <w:r>
        <w:rPr>
          <w:rFonts w:ascii="Arial" w:cs="Arial" w:eastAsia="Arial" w:hAnsi="Arial"/>
          <w:sz w:val="17"/>
          <w:szCs w:val="17"/>
          <w:b w:val="1"/>
          <w:bCs w:val="1"/>
          <w:color w:val="auto"/>
        </w:rPr>
        <w:t>10-Q</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xml:space="preserve">”), the Company was not in compliance with the requirements for continued listing under Nasdaq Listing Rule 5250(c)(1) (the </w:t>
      </w:r>
      <w:r>
        <w:rPr>
          <w:rFonts w:ascii="Arial" w:cs="Arial" w:eastAsia="Arial" w:hAnsi="Arial"/>
          <w:sz w:val="17"/>
          <w:szCs w:val="17"/>
          <w:b w:val="1"/>
          <w:bCs w:val="1"/>
          <w:color w:val="auto"/>
        </w:rPr>
        <w:t>“Listing Rule</w:t>
      </w:r>
      <w:r>
        <w:rPr>
          <w:rFonts w:ascii="Arial" w:cs="Arial" w:eastAsia="Arial" w:hAnsi="Arial"/>
          <w:sz w:val="17"/>
          <w:szCs w:val="17"/>
          <w:color w:val="auto"/>
        </w:rPr>
        <w:t>”).</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notification letter has no immediate effect on the listing or trading of the Company’s common stock on the Nasdaq Global Market. The Notice states that the Company has 60 calendar days from the date of the Notice, or July 24, 2023, to submit a plan to regain compliance with the Listing Rule. If Nasdaq accepts the Company’s plan to regain compliance, then Nasdaq may grant the Company up to 180 calendar days from the prescribed due date of the 10-Q, or November 20, 2023, to file the 10-Q to regain compliance.</w:t>
      </w:r>
    </w:p>
    <w:p>
      <w:pPr>
        <w:spacing w:after="0" w:line="187" w:lineRule="exact"/>
        <w:rPr>
          <w:sz w:val="20"/>
          <w:szCs w:val="20"/>
          <w:color w:val="auto"/>
        </w:rPr>
      </w:pPr>
    </w:p>
    <w:p>
      <w:pPr>
        <w:ind w:right="1100" w:firstLine="648"/>
        <w:spacing w:after="0" w:line="277" w:lineRule="auto"/>
        <w:rPr>
          <w:sz w:val="20"/>
          <w:szCs w:val="20"/>
          <w:color w:val="auto"/>
        </w:rPr>
      </w:pPr>
      <w:r>
        <w:rPr>
          <w:rFonts w:ascii="Arial" w:cs="Arial" w:eastAsia="Arial" w:hAnsi="Arial"/>
          <w:sz w:val="18"/>
          <w:szCs w:val="18"/>
          <w:color w:val="auto"/>
        </w:rPr>
        <w:t>The Company will file its 10-Q as soon as practible in order to regain compliance with the Listing Rule, and in any event within the abovementioned time frame.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press release, dated May 25, 2023, disclosing the Company’s receipt of the Notice referenced above is attached hereto as Exhibit 99.1.</w:t>
      </w:r>
    </w:p>
    <w:p>
      <w:pPr>
        <w:spacing w:after="0" w:line="237"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The information furnished in this Item 7.01 of this Current Report on Form 8-K (including Exhibit 99.1 attached hereto) shall not be deemed “filed” for purposes of Section 18 of the Securities Exchange Act of 1934, as amended, and shall not be incorporated by reference into any filing of the Company under the Securities Act of 1933, as amended, except as shall be expressly set forth by specific reference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Current Report on Form 8-K includes information that constitutes forward-looking statements within the meaning of Section 27A of the Securities Act of 1933, as amended, and Section 21E of the Securities Exchange Act of 1934, as amended. Words such as “anticipate”, “estimate”, “expect”, “project”, “plan”, “intend”, “believe”, “may”, “might”, “will”, “should”, “can have”, “likely” and similar expressions are used to identify forward-looking statements. These forward-looking statements are based on the Company’s current beliefs, assumptions and expectations regarding future events, which in turn are based on information currently available to the Company.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the Company’s ability to respond in a timely and satisfactory matter to the inquiries by Nasdaq, the Company’s ability to regain compliance with Listing Rule, the Company’s ability to become current with its reports with the SEC, and the risk that the completion and filing of the 10-Q will take longer than expected. For additional information about factors that could cause actual results to differ materially from those described in the forward-looking statements, please refer to the Company’s filings with the SEC. The Company undertakes no obligation to publicly update or revise any forward-looking statement, whether as a result of new information, future events or otherwise, except to the extent required by applicable laws.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shd w:val="clear" w:color="auto" w:fill="CCEEFF"/>
          </w:tcPr>
          <w:p>
            <w:pP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800" w:type="dxa"/>
            <w:vAlign w:val="bottom"/>
            <w:shd w:val="clear" w:color="auto" w:fill="CCEEFF"/>
          </w:tcPr>
          <w:p>
            <w:pPr>
              <w:spacing w:after="0"/>
              <w:rPr>
                <w:sz w:val="14"/>
                <w:szCs w:val="14"/>
                <w:color w:val="auto"/>
              </w:rPr>
            </w:pPr>
          </w:p>
        </w:tc>
        <w:tc>
          <w:tcPr>
            <w:tcW w:w="10120" w:type="dxa"/>
            <w:vAlign w:val="bottom"/>
            <w:gridSpan w:val="4"/>
            <w:shd w:val="clear" w:color="auto" w:fill="CCEEFF"/>
          </w:tcPr>
          <w:p>
            <w:pPr>
              <w:ind w:left="120"/>
              <w:spacing w:after="0" w:line="169" w:lineRule="exact"/>
              <w:rPr>
                <w:sz w:val="20"/>
                <w:szCs w:val="20"/>
                <w:color w:val="auto"/>
              </w:rPr>
            </w:pPr>
            <w:r>
              <w:rPr>
                <w:rFonts w:ascii="Arial" w:cs="Arial" w:eastAsia="Arial" w:hAnsi="Arial"/>
                <w:sz w:val="18"/>
                <w:szCs w:val="18"/>
                <w:color w:val="0000EE"/>
              </w:rPr>
              <w:t>Press Release, dated May 25, 2023.</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r>
    </w:tbl>
    <w:p>
      <w:pPr>
        <w:ind w:left="5560" w:right="4220" w:hanging="5552"/>
        <w:spacing w:after="0" w:line="761" w:lineRule="auto"/>
        <w:tabs>
          <w:tab w:leader="none" w:pos="124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216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25, 2023</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4" w:name="page5"/>
    <w:bookmarkEnd w:id="4"/>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 Receives Notice from Nasdaq Regarding Delayed Quarterly Report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New York, NY</w:t>
      </w:r>
      <w:r>
        <w:rPr>
          <w:rFonts w:ascii="Arial" w:cs="Arial" w:eastAsia="Arial" w:hAnsi="Arial"/>
          <w:sz w:val="18"/>
          <w:szCs w:val="18"/>
          <w:color w:val="auto"/>
        </w:rPr>
        <w:t>., May 25, 2023 -- BurTech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(NASDAQ: BRKH) today announced that it received a notice (“</w:t>
      </w:r>
      <w:r>
        <w:rPr>
          <w:rFonts w:ascii="Arial" w:cs="Arial" w:eastAsia="Arial" w:hAnsi="Arial"/>
          <w:sz w:val="18"/>
          <w:szCs w:val="18"/>
          <w:b w:val="1"/>
          <w:bCs w:val="1"/>
          <w:color w:val="auto"/>
        </w:rPr>
        <w:t>Notice</w:t>
      </w:r>
      <w:r>
        <w:rPr>
          <w:rFonts w:ascii="Arial" w:cs="Arial" w:eastAsia="Arial" w:hAnsi="Arial"/>
          <w:sz w:val="18"/>
          <w:szCs w:val="18"/>
          <w:color w:val="auto"/>
        </w:rPr>
        <w:t>”) on</w:t>
      </w:r>
      <w:r>
        <w:rPr>
          <w:rFonts w:ascii="Arial" w:cs="Arial" w:eastAsia="Arial" w:hAnsi="Arial"/>
          <w:sz w:val="18"/>
          <w:szCs w:val="18"/>
          <w:i w:val="1"/>
          <w:iCs w:val="1"/>
          <w:color w:val="auto"/>
        </w:rPr>
        <w:t xml:space="preserve"> </w:t>
      </w:r>
      <w:r>
        <w:rPr>
          <w:rFonts w:ascii="Arial" w:cs="Arial" w:eastAsia="Arial" w:hAnsi="Arial"/>
          <w:sz w:val="18"/>
          <w:szCs w:val="18"/>
          <w:color w:val="auto"/>
        </w:rPr>
        <w:t>May 23, 2023 from the Listing Qualifications Department of The Nasdaq Stock Market (“Nasdaq”) stating that the Company is not in compliance with Nasdaq Listing Rule 5250(c)(1) (the “</w:t>
      </w:r>
      <w:r>
        <w:rPr>
          <w:rFonts w:ascii="Arial" w:cs="Arial" w:eastAsia="Arial" w:hAnsi="Arial"/>
          <w:sz w:val="18"/>
          <w:szCs w:val="18"/>
          <w:b w:val="1"/>
          <w:bCs w:val="1"/>
          <w:color w:val="auto"/>
        </w:rPr>
        <w:t>Listing Rule</w:t>
      </w:r>
      <w:r>
        <w:rPr>
          <w:rFonts w:ascii="Arial" w:cs="Arial" w:eastAsia="Arial" w:hAnsi="Arial"/>
          <w:sz w:val="18"/>
          <w:szCs w:val="18"/>
          <w:color w:val="auto"/>
        </w:rPr>
        <w:t>”) because the Company failed to timely file its Quarterly Report on Form 10-Q for the period ended March 31, 2023 (the “</w:t>
      </w:r>
      <w:r>
        <w:rPr>
          <w:rFonts w:ascii="Arial" w:cs="Arial" w:eastAsia="Arial" w:hAnsi="Arial"/>
          <w:sz w:val="18"/>
          <w:szCs w:val="18"/>
          <w:b w:val="1"/>
          <w:bCs w:val="1"/>
          <w:color w:val="auto"/>
        </w:rPr>
        <w:t>10-Q</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file its 10-Q as soon as practible in order to regain compliance with the Listing Rule, and in any event within the abovementioned time frame.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Notice has no immediate effect on the listing or trading of the Company’s securities on the Nasdaq Global Market. The Notice states that the Company has 60 calendar days from the date of the Notice, or July 24, 2023, to submit a plan to regain compliance with the Listing Rule. If Nasdaq accepts the Company’s plan to regain compliance, then Nasdaq may grant the Company up to 180 calendar days from the prescribed due date of the Form 10-Q, or November 20, 2023, to file the 10-Q to regain compliance.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reported by the Company in its Notification of Late Filing on Form 12b-25, filed with the SEC on May 16, 2023, the Company was unable to timely file the 10-Q without unreasonable effort or expense.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This announcement is made in compliance with Nasdaq Listing Rule 5810(b), which requires prompt disclosure of receipt of a deficiency notification.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BurTech Acquisition Corp.</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BurTech Acquisition Corp. is a blank check company whose business purpose is to effect a merger, capital stock exchange, asset acquisition, stock purchase, reorganization or similar business combination with one or more businesses or entities. The Company has not selected a business combination target and has not, nor has anyone on its behalf, initiated any substantive discussions, directly or indirectly, with any business combination target. The Company intends to focus its search for a target business in the retail, lifestyle, hospitality, technology, or real estate markets. The Company is led by its Chief Executive Officer, Shahal Khan.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press release contains forward-looking statements regarding future events and our future results that are subject to the safe harbor created under the Private Securities Litigation Reform Act of 1995 and other safe harbors under the Securities Act of 1933, as amended, and the Securities Exchange Act of 1934, as amended. Words such as “anticipate”, “estimate”, “expect”, “project”, “plan”, “intend”, “believe”, “may”, “might”, “will”, “should”, “can have”, “likely” and similar expressions are used to identify forward-looking statements. These forward-looking statements are based on our current beliefs, assumptions and expectations regarding future events, which in turn are based on information currently available to us. By their nature, forward-looking statements address matters that are subject to risks and uncertainties. A variety of factors could cause actual events and results to differ materially from those expressed in or contemplated by the forward-looking statements. These factors include, without limitation, our ability to respond in a timely and satisfactory matter to the inquiries by Nasdaq, our ability to regain compliance with Listing Rule, our ability to become current with our reports with the SEC, and the risk that the completion and filing of the Form 10-Q will take longer than expected. For additional information about factors that could cause actual results to differ materially from those described in the forward-looking statements, please refer to our filings with the SEC. Forward-looking statements represent management’s current expectations and are inherently uncertain. Except to the extent required by applicable law, we do not undertake any obligation to update or revise forward-looking statements made by us to reflect subsequent events or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Shahal Khan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shahal@burkhan.world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2023-05-26T05:12:46Z</dcterms:created>
  <dcterms:modified xsi:type="dcterms:W3CDTF">2023-05-26T05:12:46Z</dcterms:modified>
</cp:coreProperties>
</file>